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4E5F"/>
          <w:sz w:val="32"/>
          <w:szCs w:val="32"/>
        </w:rPr>
        <w:t xml:space="preserve">UPSC CIVIL SERVICES MAIN EXAMINATION 2026</w:t>
      </w:r>
    </w:p>
    <w:p>
      <w:pPr>
        <w:spacing w:after="60"/>
        <w:jc w:val="center"/>
      </w:pPr>
      <w:r>
        <w:rPr>
          <w:b/>
          <w:bCs/>
          <w:sz w:val="26"/>
          <w:szCs w:val="26"/>
        </w:rPr>
        <w:t xml:space="preserve">GENERAL STUDIES PAPER IV — Ethics, Integrity and Aptitude</w:t>
      </w:r>
    </w:p>
    <w:p>
      <w:pPr>
        <w:spacing w:after="60"/>
        <w:jc w:val="center"/>
      </w:pPr>
      <w:r>
        <w:rPr>
          <w:i/>
          <w:iCs/>
          <w:color w:val="555555"/>
          <w:sz w:val="20"/>
          <w:szCs w:val="20"/>
        </w:rPr>
        <w:t xml:space="preserve">23 August 2026 | Paper V | 250 Marks | Model Answers — Pointer Format</w:t>
      </w:r>
    </w:p>
    <w:p>
      <w:pPr>
        <w:spacing w:after="300"/>
        <w:jc w:val="center"/>
      </w:pPr>
      <w:r>
        <w:rPr>
          <w:i/>
          <w:iCs/>
          <w:color w:val="777777"/>
          <w:sz w:val="18"/>
          <w:szCs w:val="18"/>
        </w:rPr>
        <w:t xml:space="preserve">Each answer is structured under headings/sub-headings that mirror the question's own sub-demands, for quick revision and answer-writing practice.</w:t>
      </w:r>
    </w:p>
    <w:p>
      <w:pPr>
        <w:pStyle w:val="Heading1"/>
        <w:pBdr>
          <w:bottom w:val="single" w:color="1F4E5F" w:sz="6" w:space="2"/>
        </w:pBdr>
        <w:spacing w:after="120" w:before="320"/>
      </w:pPr>
      <w:r>
        <w:rPr>
          <w:b/>
          <w:bCs/>
          <w:color w:val="1F4E5F"/>
          <w:sz w:val="26"/>
          <w:szCs w:val="26"/>
        </w:rPr>
        <w:t xml:space="preserve">SECTION — A</w:t>
      </w:r>
    </w:p>
    <w:p>
      <w:pPr>
        <w:spacing w:after="80" w:before="280"/>
      </w:pPr>
      <w:r>
        <w:rPr>
          <w:b/>
          <w:bCs/>
          <w:color w:val="9C3D1E"/>
          <w:sz w:val="22"/>
          <w:szCs w:val="22"/>
        </w:rPr>
        <w:t xml:space="preserve">Q1(a). Owing to paucity of time, a university professor generates a Ph.D. evaluation report using Artificial Intelligence and submits it with some modifications. Discuss this from the perspective of accountability and integrity.</w:t>
      </w:r>
      <w:r>
        <w:rPr>
          <w:b/>
          <w:bCs/>
          <w:color w:val="888888"/>
          <w:sz w:val="18"/>
          <w:szCs w:val="18"/>
        </w:rPr>
        <w:t xml:space="preserve">  [10 marks | ~150 words]</w:t>
      </w:r>
    </w:p>
    <w:p>
      <w:pPr>
        <w:spacing w:after="90"/>
        <w:jc w:val="both"/>
      </w:pPr>
      <w:r>
        <w:rPr>
          <w:i/>
          <w:iCs/>
          <w:sz w:val="21"/>
          <w:szCs w:val="21"/>
        </w:rPr>
        <w:t xml:space="preserve">The act raises twin concerns of integrity (in the evaluation itself) and accountability (for its consequences).</w:t>
      </w:r>
    </w:p>
    <w:p>
      <w:pPr>
        <w:spacing w:after="50" w:before="120"/>
      </w:pPr>
      <w:r>
        <w:rPr>
          <w:b/>
          <w:bCs/>
          <w:color w:val="2E5C3E"/>
          <w:sz w:val="21"/>
          <w:szCs w:val="21"/>
          <w:u w:val="single"/>
        </w:rPr>
        <w:t xml:space="preserve">Integrity Issues</w:t>
      </w:r>
    </w:p>
    <w:p>
      <w:pPr>
        <w:pStyle w:val="ListParagraph"/>
        <w:numPr>
          <w:ilvl w:val="0"/>
          <w:numId w:val="2"/>
        </w:numPr>
        <w:spacing w:after="55"/>
        <w:jc w:val="both"/>
      </w:pPr>
      <w:r>
        <w:rPr>
          <w:sz w:val="21"/>
          <w:szCs w:val="21"/>
        </w:rPr>
        <w:t xml:space="preserve">Academic evaluation demands the evaluator's own reasoned, expert judgement — a professor's signature implies independent scholarly scrutiny, not a lightly edited AI output.</w:t>
      </w:r>
    </w:p>
    <w:p>
      <w:pPr>
        <w:pStyle w:val="ListParagraph"/>
        <w:numPr>
          <w:ilvl w:val="0"/>
          <w:numId w:val="2"/>
        </w:numPr>
        <w:spacing w:after="55"/>
        <w:jc w:val="both"/>
      </w:pPr>
      <w:r>
        <w:rPr>
          <w:sz w:val="21"/>
          <w:szCs w:val="21"/>
        </w:rPr>
        <w:t xml:space="preserve">Non-disclosure of AI use amounts to a quiet deception — presenting borrowed judgement as personal assessment.</w:t>
      </w:r>
    </w:p>
    <w:p>
      <w:pPr>
        <w:pStyle w:val="ListParagraph"/>
        <w:numPr>
          <w:ilvl w:val="0"/>
          <w:numId w:val="2"/>
        </w:numPr>
        <w:spacing w:after="55"/>
        <w:jc w:val="both"/>
      </w:pPr>
      <w:r>
        <w:rPr>
          <w:sz w:val="21"/>
          <w:szCs w:val="21"/>
        </w:rPr>
        <w:t xml:space="preserve">AI-generated content may carry factual errors or fabricated observations ('hallucinations'), which could unfairly affect a candidate's career.</w:t>
      </w:r>
    </w:p>
    <w:p>
      <w:pPr>
        <w:spacing w:after="50" w:before="120"/>
      </w:pPr>
      <w:r>
        <w:rPr>
          <w:b/>
          <w:bCs/>
          <w:color w:val="2E5C3E"/>
          <w:sz w:val="21"/>
          <w:szCs w:val="21"/>
          <w:u w:val="single"/>
        </w:rPr>
        <w:t xml:space="preserve">Accountability Issues</w:t>
      </w:r>
    </w:p>
    <w:p>
      <w:pPr>
        <w:pStyle w:val="ListParagraph"/>
        <w:numPr>
          <w:ilvl w:val="0"/>
          <w:numId w:val="2"/>
        </w:numPr>
        <w:spacing w:after="55"/>
        <w:jc w:val="both"/>
      </w:pPr>
      <w:r>
        <w:rPr>
          <w:sz w:val="21"/>
          <w:szCs w:val="21"/>
        </w:rPr>
        <w:t xml:space="preserve">The professor remains fully answerable for the report's content since he submits it under his own name — responsibility cannot be outsourced to a tool.</w:t>
      </w:r>
    </w:p>
    <w:p>
      <w:pPr>
        <w:pStyle w:val="ListParagraph"/>
        <w:numPr>
          <w:ilvl w:val="0"/>
          <w:numId w:val="2"/>
        </w:numPr>
        <w:spacing w:after="55"/>
        <w:jc w:val="both"/>
      </w:pPr>
      <w:r>
        <w:rPr>
          <w:sz w:val="21"/>
          <w:szCs w:val="21"/>
        </w:rPr>
        <w:t xml:space="preserve">If normalised and undisclosed, such practice erodes institutional trust in academic evaluation as a whole.</w:t>
      </w:r>
    </w:p>
    <w:p>
      <w:pPr>
        <w:spacing w:after="60" w:before="80"/>
        <w:jc w:val="both"/>
      </w:pPr>
      <w:r>
        <w:rPr>
          <w:sz w:val="21"/>
          <w:szCs w:val="21"/>
        </w:rPr>
        <w:t xml:space="preserve">Way Forward: AI may be used as a drafting aid, but the evaluator must disclose its use, independently verify every claim, and take full personal ownership of the final report — diligence and honesty over convenience.</w:t>
      </w:r>
    </w:p>
    <w:p>
      <w:pPr>
        <w:spacing w:after="80" w:before="280"/>
      </w:pPr>
      <w:r>
        <w:rPr>
          <w:b/>
          <w:bCs/>
          <w:color w:val="9C3D1E"/>
          <w:sz w:val="22"/>
          <w:szCs w:val="22"/>
        </w:rPr>
        <w:t xml:space="preserve">Q1(b). A business house is working on a project that could displace a forest community from their habitat. As the administrative officer of that district, what ethical challenges are you likely to face?</w:t>
      </w:r>
      <w:r>
        <w:rPr>
          <w:b/>
          <w:bCs/>
          <w:color w:val="888888"/>
          <w:sz w:val="18"/>
          <w:szCs w:val="18"/>
        </w:rPr>
        <w:t xml:space="preserve">  [10 marks | ~150 words]</w:t>
      </w:r>
    </w:p>
    <w:p>
      <w:pPr>
        <w:spacing w:after="90"/>
        <w:jc w:val="both"/>
      </w:pPr>
      <w:r>
        <w:rPr>
          <w:i/>
          <w:iCs/>
          <w:sz w:val="21"/>
          <w:szCs w:val="21"/>
        </w:rPr>
        <w:t xml:space="preserve">As administrative officer, I would face several competing ethical challenges in balancing development with community rights.</w:t>
      </w:r>
    </w:p>
    <w:p>
      <w:pPr>
        <w:spacing w:after="50" w:before="120"/>
      </w:pPr>
      <w:r>
        <w:rPr>
          <w:b/>
          <w:bCs/>
          <w:color w:val="2E5C3E"/>
          <w:sz w:val="21"/>
          <w:szCs w:val="21"/>
          <w:u w:val="single"/>
        </w:rPr>
        <w:t xml:space="preserve">Key Ethical Challenges</w:t>
      </w:r>
    </w:p>
    <w:p>
      <w:pPr>
        <w:pStyle w:val="ListParagraph"/>
        <w:numPr>
          <w:ilvl w:val="0"/>
          <w:numId w:val="2"/>
        </w:numPr>
        <w:spacing w:after="55"/>
        <w:jc w:val="both"/>
      </w:pPr>
      <w:r>
        <w:rPr>
          <w:sz w:val="21"/>
          <w:szCs w:val="21"/>
        </w:rPr>
        <w:t xml:space="preserve">Development vs. displacement — economic growth and jobs vs. loss of habitat, livelihood and cultural identity of the forest community.</w:t>
      </w:r>
    </w:p>
    <w:p>
      <w:pPr>
        <w:pStyle w:val="ListParagraph"/>
        <w:numPr>
          <w:ilvl w:val="0"/>
          <w:numId w:val="2"/>
        </w:numPr>
        <w:spacing w:after="55"/>
        <w:jc w:val="both"/>
      </w:pPr>
      <w:r>
        <w:rPr>
          <w:sz w:val="21"/>
          <w:szCs w:val="21"/>
        </w:rPr>
        <w:t xml:space="preserve">Legal-ethical tension — compliance with the Forest Rights Act, 2006 and Gram Sabha consent under PESA vs. pressure to expedite clearances.</w:t>
      </w:r>
    </w:p>
    <w:p>
      <w:pPr>
        <w:pStyle w:val="ListParagraph"/>
        <w:numPr>
          <w:ilvl w:val="0"/>
          <w:numId w:val="2"/>
        </w:numPr>
        <w:spacing w:after="55"/>
        <w:jc w:val="both"/>
      </w:pPr>
      <w:r>
        <w:rPr>
          <w:sz w:val="21"/>
          <w:szCs w:val="21"/>
        </w:rPr>
        <w:t xml:space="preserve">Justice and fairness — protecting a community with weak bargaining power from exploitation by a resourced business house.</w:t>
      </w:r>
    </w:p>
    <w:p>
      <w:pPr>
        <w:pStyle w:val="ListParagraph"/>
        <w:numPr>
          <w:ilvl w:val="0"/>
          <w:numId w:val="2"/>
        </w:numPr>
        <w:spacing w:after="55"/>
        <w:jc w:val="both"/>
      </w:pPr>
      <w:r>
        <w:rPr>
          <w:sz w:val="21"/>
          <w:szCs w:val="21"/>
        </w:rPr>
        <w:t xml:space="preserve">Informed consent — ensuring rehabilitation terms are genuinely understood, not accepted under coercion or inducement.</w:t>
      </w:r>
    </w:p>
    <w:p>
      <w:pPr>
        <w:pStyle w:val="ListParagraph"/>
        <w:numPr>
          <w:ilvl w:val="0"/>
          <w:numId w:val="2"/>
        </w:numPr>
        <w:spacing w:after="55"/>
        <w:jc w:val="both"/>
      </w:pPr>
      <w:r>
        <w:rPr>
          <w:sz w:val="21"/>
          <w:szCs w:val="21"/>
        </w:rPr>
        <w:t xml:space="preserve">Corruption risk — possible pressure or inducements from the business house to bypass due process.</w:t>
      </w:r>
    </w:p>
    <w:p>
      <w:pPr>
        <w:pStyle w:val="ListParagraph"/>
        <w:numPr>
          <w:ilvl w:val="0"/>
          <w:numId w:val="2"/>
        </w:numPr>
        <w:spacing w:after="55"/>
        <w:jc w:val="both"/>
      </w:pPr>
      <w:r>
        <w:rPr>
          <w:sz w:val="21"/>
          <w:szCs w:val="21"/>
        </w:rPr>
        <w:t xml:space="preserve">Intergenerational/environmental ethics — irreversible loss of forest ecosystem and traditional knowledge.</w:t>
      </w:r>
    </w:p>
    <w:p>
      <w:pPr>
        <w:spacing w:after="60" w:before="80"/>
        <w:jc w:val="both"/>
      </w:pPr>
      <w:r>
        <w:rPr>
          <w:sz w:val="21"/>
          <w:szCs w:val="21"/>
        </w:rPr>
        <w:t xml:space="preserve">Way Forward: Act as a neutral trustee of both state and community interest — ensure free, prior, informed consent; fair compensation and resettlement; transparency; and escalate any procedural violation.</w:t>
      </w:r>
    </w:p>
    <w:p>
      <w:pPr>
        <w:spacing w:after="80" w:before="280"/>
      </w:pPr>
      <w:r>
        <w:rPr>
          <w:b/>
          <w:bCs/>
          <w:color w:val="9C3D1E"/>
          <w:sz w:val="22"/>
          <w:szCs w:val="22"/>
        </w:rPr>
        <w:t xml:space="preserve">Q2(a). An endangered tribe has developed a severe skeletal deformity. A university research has identified a mineral supplement as a possible remedy, though clinical trials are yet to be conducted. Should the District Magistrate (DM) use this research on the tribe? Discuss from the perspective of medical and administrative ethics.</w:t>
      </w:r>
      <w:r>
        <w:rPr>
          <w:b/>
          <w:bCs/>
          <w:color w:val="888888"/>
          <w:sz w:val="18"/>
          <w:szCs w:val="18"/>
        </w:rPr>
        <w:t xml:space="preserve">  [10 marks | ~150 words]</w:t>
      </w:r>
    </w:p>
    <w:p>
      <w:pPr>
        <w:spacing w:after="90"/>
        <w:jc w:val="both"/>
      </w:pPr>
      <w:r>
        <w:rPr>
          <w:i/>
          <w:iCs/>
          <w:sz w:val="21"/>
          <w:szCs w:val="21"/>
        </w:rPr>
        <w:t xml:space="preserve">The dilemma pits compassion (relieving suffering) against caution (risk of an unproven remedy).</w:t>
      </w:r>
    </w:p>
    <w:p>
      <w:pPr>
        <w:spacing w:after="50" w:before="120"/>
      </w:pPr>
      <w:r>
        <w:rPr>
          <w:b/>
          <w:bCs/>
          <w:color w:val="2E5C3E"/>
          <w:sz w:val="21"/>
          <w:szCs w:val="21"/>
          <w:u w:val="single"/>
        </w:rPr>
        <w:t xml:space="preserve">Ethical Dimensions</w:t>
      </w:r>
    </w:p>
    <w:p>
      <w:pPr>
        <w:pStyle w:val="ListParagraph"/>
        <w:numPr>
          <w:ilvl w:val="0"/>
          <w:numId w:val="2"/>
        </w:numPr>
        <w:spacing w:after="55"/>
        <w:jc w:val="both"/>
      </w:pPr>
      <w:r>
        <w:rPr>
          <w:sz w:val="21"/>
          <w:szCs w:val="21"/>
        </w:rPr>
        <w:t xml:space="preserve">Beneficence vs. non-maleficence — desire to help vs. real risk of harm from an untested supplement.</w:t>
      </w:r>
    </w:p>
    <w:p>
      <w:pPr>
        <w:pStyle w:val="ListParagraph"/>
        <w:numPr>
          <w:ilvl w:val="0"/>
          <w:numId w:val="2"/>
        </w:numPr>
        <w:spacing w:after="55"/>
        <w:jc w:val="both"/>
      </w:pPr>
      <w:r>
        <w:rPr>
          <w:sz w:val="21"/>
          <w:szCs w:val="21"/>
        </w:rPr>
        <w:t xml:space="preserve">Autonomy and informed consent — the tribe must be told the treatment is experimental, with all known risks, and give free, uncoerced consent.</w:t>
      </w:r>
    </w:p>
    <w:p>
      <w:pPr>
        <w:pStyle w:val="ListParagraph"/>
        <w:numPr>
          <w:ilvl w:val="0"/>
          <w:numId w:val="2"/>
        </w:numPr>
        <w:spacing w:after="55"/>
        <w:jc w:val="both"/>
      </w:pPr>
      <w:r>
        <w:rPr>
          <w:sz w:val="21"/>
          <w:szCs w:val="21"/>
        </w:rPr>
        <w:t xml:space="preserve">Justice — a vulnerable community should not become a convenient trial subject; recalls the Nuremberg Code and Helsinki Declaration on exploitation of marginalised groups in trials.</w:t>
      </w:r>
    </w:p>
    <w:p>
      <w:pPr>
        <w:pStyle w:val="ListParagraph"/>
        <w:numPr>
          <w:ilvl w:val="0"/>
          <w:numId w:val="2"/>
        </w:numPr>
        <w:spacing w:after="55"/>
        <w:jc w:val="both"/>
      </w:pPr>
      <w:r>
        <w:rPr>
          <w:sz w:val="21"/>
          <w:szCs w:val="21"/>
        </w:rPr>
        <w:t xml:space="preserve">Administrative competence — a DM lacks authority to unilaterally sanction clinical use; such trials require Ethics Committee/ICMR clearance.</w:t>
      </w:r>
    </w:p>
    <w:p>
      <w:pPr>
        <w:spacing w:after="60" w:before="80"/>
        <w:jc w:val="both"/>
      </w:pPr>
      <w:r>
        <w:rPr>
          <w:sz w:val="21"/>
          <w:szCs w:val="21"/>
        </w:rPr>
        <w:t xml:space="preserve">Recommended Course: The DM should not authorise use unilaterally. Instead, facilitate a fast-tracked, ethically supervised clinical trial with informed consent and monitoring, while ensuring palliative care in the interim.</w:t>
      </w:r>
    </w:p>
    <w:p>
      <w:pPr>
        <w:spacing w:after="80" w:before="280"/>
      </w:pPr>
      <w:r>
        <w:rPr>
          <w:b/>
          <w:bCs/>
          <w:color w:val="9C3D1E"/>
          <w:sz w:val="22"/>
          <w:szCs w:val="22"/>
        </w:rPr>
        <w:t xml:space="preserve">Q2(b). Discuss how national security can be balanced with concerns of human rights.</w:t>
      </w:r>
      <w:r>
        <w:rPr>
          <w:b/>
          <w:bCs/>
          <w:color w:val="888888"/>
          <w:sz w:val="18"/>
          <w:szCs w:val="18"/>
        </w:rPr>
        <w:t xml:space="preserve">  [10 marks | ~150 words]</w:t>
      </w:r>
    </w:p>
    <w:p>
      <w:pPr>
        <w:spacing w:after="90"/>
        <w:jc w:val="both"/>
      </w:pPr>
      <w:r>
        <w:rPr>
          <w:i/>
          <w:iCs/>
          <w:sz w:val="21"/>
          <w:szCs w:val="21"/>
        </w:rPr>
        <w:t xml:space="preserve">Security measures can curtail civil liberties under Part III, creating genuine ethical tension that must be resolved through guiding principles.</w:t>
      </w:r>
    </w:p>
    <w:p>
      <w:pPr>
        <w:spacing w:after="50" w:before="120"/>
      </w:pPr>
      <w:r>
        <w:rPr>
          <w:b/>
          <w:bCs/>
          <w:color w:val="2E5C3E"/>
          <w:sz w:val="21"/>
          <w:szCs w:val="21"/>
          <w:u w:val="single"/>
        </w:rPr>
        <w:t xml:space="preserve">Balancing Principles</w:t>
      </w:r>
    </w:p>
    <w:p>
      <w:pPr>
        <w:pStyle w:val="ListParagraph"/>
        <w:numPr>
          <w:ilvl w:val="0"/>
          <w:numId w:val="2"/>
        </w:numPr>
        <w:spacing w:after="55"/>
        <w:jc w:val="both"/>
      </w:pPr>
      <w:r>
        <w:rPr>
          <w:sz w:val="21"/>
          <w:szCs w:val="21"/>
        </w:rPr>
        <w:t xml:space="preserve">Proportionality — restrictions must be the minimum necessary, not blanket or indefinite.</w:t>
      </w:r>
    </w:p>
    <w:p>
      <w:pPr>
        <w:pStyle w:val="ListParagraph"/>
        <w:numPr>
          <w:ilvl w:val="0"/>
          <w:numId w:val="2"/>
        </w:numPr>
        <w:spacing w:after="55"/>
        <w:jc w:val="both"/>
      </w:pPr>
      <w:r>
        <w:rPr>
          <w:sz w:val="21"/>
          <w:szCs w:val="21"/>
        </w:rPr>
        <w:t xml:space="preserve">Legality and due process — every security action must rest on clear legal authority (Puttaswamy test: legality, necessity, proportionality).</w:t>
      </w:r>
    </w:p>
    <w:p>
      <w:pPr>
        <w:pStyle w:val="ListParagraph"/>
        <w:numPr>
          <w:ilvl w:val="0"/>
          <w:numId w:val="2"/>
        </w:numPr>
        <w:spacing w:after="55"/>
        <w:jc w:val="both"/>
      </w:pPr>
      <w:r>
        <w:rPr>
          <w:sz w:val="21"/>
          <w:szCs w:val="21"/>
        </w:rPr>
        <w:t xml:space="preserve">Accountability — security agencies must remain subject to judicial and parliamentary oversight.</w:t>
      </w:r>
    </w:p>
    <w:p>
      <w:pPr>
        <w:pStyle w:val="ListParagraph"/>
        <w:numPr>
          <w:ilvl w:val="0"/>
          <w:numId w:val="2"/>
        </w:numPr>
        <w:spacing w:after="55"/>
        <w:jc w:val="both"/>
      </w:pPr>
      <w:r>
        <w:rPr>
          <w:sz w:val="21"/>
          <w:szCs w:val="21"/>
        </w:rPr>
        <w:t xml:space="preserve">Temporariness — emergency measures must not silently become the permanent norm.</w:t>
      </w:r>
    </w:p>
    <w:p>
      <w:pPr>
        <w:pStyle w:val="ListParagraph"/>
        <w:numPr>
          <w:ilvl w:val="0"/>
          <w:numId w:val="2"/>
        </w:numPr>
        <w:spacing w:after="55"/>
        <w:jc w:val="both"/>
      </w:pPr>
      <w:r>
        <w:rPr>
          <w:sz w:val="21"/>
          <w:szCs w:val="21"/>
        </w:rPr>
        <w:t xml:space="preserve">Non-discrimination — security objectives must never become a pretext for profiling any community.</w:t>
      </w:r>
    </w:p>
    <w:p>
      <w:pPr>
        <w:spacing w:after="60" w:before="80"/>
        <w:jc w:val="both"/>
      </w:pPr>
      <w:r>
        <w:rPr>
          <w:sz w:val="21"/>
          <w:szCs w:val="21"/>
        </w:rPr>
        <w:t xml:space="preserve">Conclusion: National security and human rights are not inherently zero-sum — lasting security flows from a citizenry that trusts the state; narrowly tailored measures with independent oversight serve both.</w:t>
      </w:r>
    </w:p>
    <w:p>
      <w:pPr>
        <w:spacing w:after="80" w:before="280"/>
      </w:pPr>
      <w:r>
        <w:rPr>
          <w:b/>
          <w:bCs/>
          <w:color w:val="9C3D1E"/>
          <w:sz w:val="22"/>
          <w:szCs w:val="22"/>
        </w:rPr>
        <w:t xml:space="preserve">Q3(a). Dr. B.R. Ambedkar had cautioned that employing civil disobedience within a constitutional democracy equates to endorsing 'anarchy'. How should modern democracies navigate the ethical dilemmas posed by civil disobedience movements that aim to promote social justice against policies that may raise genuine concerns?</w:t>
      </w:r>
      <w:r>
        <w:rPr>
          <w:b/>
          <w:bCs/>
          <w:color w:val="888888"/>
          <w:sz w:val="18"/>
          <w:szCs w:val="18"/>
        </w:rPr>
        <w:t xml:space="preserve">  [10 marks | ~150 words]</w:t>
      </w:r>
    </w:p>
    <w:p>
      <w:pPr>
        <w:spacing w:after="90"/>
        <w:jc w:val="both"/>
      </w:pPr>
      <w:r>
        <w:rPr>
          <w:i/>
          <w:iCs/>
          <w:sz w:val="21"/>
          <w:szCs w:val="21"/>
        </w:rPr>
        <w:t xml:space="preserve">Ambedkar's caution arose from a specific logic: once constitutional channels exist, methods outside them risk becoming a 'grammar of anarchy'. Yet modern justice movements often arise because those channels are slow or unresponsive.</w:t>
      </w:r>
    </w:p>
    <w:p>
      <w:pPr>
        <w:spacing w:after="50" w:before="120"/>
      </w:pPr>
      <w:r>
        <w:rPr>
          <w:b/>
          <w:bCs/>
          <w:color w:val="2E5C3E"/>
          <w:sz w:val="21"/>
          <w:szCs w:val="21"/>
          <w:u w:val="single"/>
        </w:rPr>
        <w:t xml:space="preserve">Way to Navigate the Dilemma</w:t>
      </w:r>
    </w:p>
    <w:p>
      <w:pPr>
        <w:pStyle w:val="ListParagraph"/>
        <w:numPr>
          <w:ilvl w:val="0"/>
          <w:numId w:val="2"/>
        </w:numPr>
        <w:spacing w:after="55"/>
        <w:jc w:val="both"/>
      </w:pPr>
      <w:r>
        <w:rPr>
          <w:sz w:val="21"/>
          <w:szCs w:val="21"/>
        </w:rPr>
        <w:t xml:space="preserve">Distinguish genuinely non-violent, transparent, accountable dissent (which tests policy against public conscience) from disobedience that is coercive or violent.</w:t>
      </w:r>
    </w:p>
    <w:p>
      <w:pPr>
        <w:pStyle w:val="ListParagraph"/>
        <w:numPr>
          <w:ilvl w:val="0"/>
          <w:numId w:val="2"/>
        </w:numPr>
        <w:spacing w:after="55"/>
        <w:jc w:val="both"/>
      </w:pPr>
      <w:r>
        <w:rPr>
          <w:sz w:val="21"/>
          <w:szCs w:val="21"/>
        </w:rPr>
        <w:t xml:space="preserve">The state must keep democratic channels genuinely accessible and responsive, reducing the felt necessity for extra-constitutional protest.</w:t>
      </w:r>
    </w:p>
    <w:p>
      <w:pPr>
        <w:pStyle w:val="ListParagraph"/>
        <w:numPr>
          <w:ilvl w:val="0"/>
          <w:numId w:val="2"/>
        </w:numPr>
        <w:spacing w:after="55"/>
        <w:jc w:val="both"/>
      </w:pPr>
      <w:r>
        <w:rPr>
          <w:sz w:val="21"/>
          <w:szCs w:val="21"/>
        </w:rPr>
        <w:t xml:space="preserve">Legislature and judiciary must engage substantively with the grievances raised, not merely police the mode of protest.</w:t>
      </w:r>
    </w:p>
    <w:p>
      <w:pPr>
        <w:spacing w:after="60" w:before="80"/>
        <w:jc w:val="both"/>
      </w:pPr>
      <w:r>
        <w:rPr>
          <w:sz w:val="21"/>
          <w:szCs w:val="21"/>
        </w:rPr>
        <w:t xml:space="preserve">Conclusion: The resolution lies not in blanket endorsement or suppression, but in upholding constitutional morality while keeping institutions responsive enough that dissent finds legitimate outlets.</w:t>
      </w:r>
    </w:p>
    <w:p>
      <w:pPr>
        <w:spacing w:after="80" w:before="280"/>
      </w:pPr>
      <w:r>
        <w:rPr>
          <w:b/>
          <w:bCs/>
          <w:color w:val="9C3D1E"/>
          <w:sz w:val="22"/>
          <w:szCs w:val="22"/>
        </w:rPr>
        <w:t xml:space="preserve">Q3(b). In what ways can an Indian Administrative Officer apply Gandhi's notion of 'trusteeship' to ensure fairness in governance?</w:t>
      </w:r>
      <w:r>
        <w:rPr>
          <w:b/>
          <w:bCs/>
          <w:color w:val="888888"/>
          <w:sz w:val="18"/>
          <w:szCs w:val="18"/>
        </w:rPr>
        <w:t xml:space="preserve">  [10 marks | ~150 words]</w:t>
      </w:r>
    </w:p>
    <w:p>
      <w:pPr>
        <w:spacing w:after="90"/>
        <w:jc w:val="both"/>
      </w:pPr>
      <w:r>
        <w:rPr>
          <w:i/>
          <w:iCs/>
          <w:sz w:val="21"/>
          <w:szCs w:val="21"/>
        </w:rPr>
        <w:t xml:space="preserve">Gandhi's trusteeship held that those who control power/resources should regard themselves as trustees for society's welfare, especially its weakest.</w:t>
      </w:r>
    </w:p>
    <w:p>
      <w:pPr>
        <w:spacing w:after="50" w:before="120"/>
      </w:pPr>
      <w:r>
        <w:rPr>
          <w:b/>
          <w:bCs/>
          <w:color w:val="2E5C3E"/>
          <w:sz w:val="21"/>
          <w:szCs w:val="21"/>
          <w:u w:val="single"/>
        </w:rPr>
        <w:t xml:space="preserve">Application by an IAS Officer</w:t>
      </w:r>
    </w:p>
    <w:p>
      <w:pPr>
        <w:pStyle w:val="ListParagraph"/>
        <w:numPr>
          <w:ilvl w:val="0"/>
          <w:numId w:val="2"/>
        </w:numPr>
        <w:spacing w:after="55"/>
        <w:jc w:val="both"/>
      </w:pPr>
      <w:r>
        <w:rPr>
          <w:sz w:val="21"/>
          <w:szCs w:val="21"/>
        </w:rPr>
        <w:t xml:space="preserve">View public office, funds and discretionary authority as held in trust for citizens, not personal or political benefit — echoing 'public office is public trust.'</w:t>
      </w:r>
    </w:p>
    <w:p>
      <w:pPr>
        <w:pStyle w:val="ListParagraph"/>
        <w:numPr>
          <w:ilvl w:val="0"/>
          <w:numId w:val="2"/>
        </w:numPr>
        <w:spacing w:after="55"/>
        <w:jc w:val="both"/>
      </w:pPr>
      <w:r>
        <w:rPr>
          <w:sz w:val="21"/>
          <w:szCs w:val="21"/>
        </w:rPr>
        <w:t xml:space="preserve">Prioritise the interests of the 'last person' (Antyodaya) when allocating scarce welfare resources.</w:t>
      </w:r>
    </w:p>
    <w:p>
      <w:pPr>
        <w:pStyle w:val="ListParagraph"/>
        <w:numPr>
          <w:ilvl w:val="0"/>
          <w:numId w:val="2"/>
        </w:numPr>
        <w:spacing w:after="55"/>
        <w:jc w:val="both"/>
      </w:pPr>
      <w:r>
        <w:rPr>
          <w:sz w:val="21"/>
          <w:szCs w:val="21"/>
        </w:rPr>
        <w:t xml:space="preserve">Practise austerity, transparency and restraint in exercising discretion.</w:t>
      </w:r>
    </w:p>
    <w:p>
      <w:pPr>
        <w:pStyle w:val="ListParagraph"/>
        <w:numPr>
          <w:ilvl w:val="0"/>
          <w:numId w:val="2"/>
        </w:numPr>
        <w:spacing w:after="55"/>
        <w:jc w:val="both"/>
      </w:pPr>
      <w:r>
        <w:rPr>
          <w:sz w:val="21"/>
          <w:szCs w:val="21"/>
        </w:rPr>
        <w:t xml:space="preserve">Encourage voluntary compliance among stakeholders — industry, contractors, local bodies — as fellow trustees of the public good.</w:t>
      </w:r>
    </w:p>
    <w:p>
      <w:pPr>
        <w:spacing w:after="60" w:before="80"/>
        <w:jc w:val="both"/>
      </w:pPr>
      <w:r>
        <w:rPr>
          <w:sz w:val="21"/>
          <w:szCs w:val="21"/>
        </w:rPr>
        <w:t xml:space="preserve">Conclusion: Trusteeship becomes an ethic of stewardship, equity and accountability — governance as a moral duty, not an entitlement of office.</w:t>
      </w:r>
    </w:p>
    <w:p>
      <w:pPr>
        <w:spacing w:after="80" w:before="280"/>
      </w:pPr>
      <w:r>
        <w:rPr>
          <w:b/>
          <w:bCs/>
          <w:color w:val="9C3D1E"/>
          <w:sz w:val="22"/>
          <w:szCs w:val="22"/>
        </w:rPr>
        <w:t xml:space="preserve">Q3(c). Shakespeare in Henry IV says, "The arms are fair when the intent of bearing them is just". What ethical implications does this have in governance?</w:t>
      </w:r>
      <w:r>
        <w:rPr>
          <w:b/>
          <w:bCs/>
          <w:color w:val="888888"/>
          <w:sz w:val="18"/>
          <w:szCs w:val="18"/>
        </w:rPr>
        <w:t xml:space="preserve">  [10 marks | ~150 words]</w:t>
      </w:r>
    </w:p>
    <w:p>
      <w:pPr>
        <w:spacing w:after="90"/>
        <w:jc w:val="both"/>
      </w:pPr>
      <w:r>
        <w:rPr>
          <w:i/>
          <w:iCs/>
          <w:sz w:val="21"/>
          <w:szCs w:val="21"/>
        </w:rPr>
        <w:t xml:space="preserve">The line means the moral character of an act — bearing arms, or any exercise of power — is determined by the justice of the intent behind it, not its formal legality.</w:t>
      </w:r>
    </w:p>
    <w:p>
      <w:pPr>
        <w:spacing w:after="50" w:before="120"/>
      </w:pPr>
      <w:r>
        <w:rPr>
          <w:b/>
          <w:bCs/>
          <w:color w:val="2E5C3E"/>
          <w:sz w:val="21"/>
          <w:szCs w:val="21"/>
          <w:u w:val="single"/>
        </w:rPr>
        <w:t xml:space="preserve">Implications for Governance</w:t>
      </w:r>
    </w:p>
    <w:p>
      <w:pPr>
        <w:pStyle w:val="ListParagraph"/>
        <w:numPr>
          <w:ilvl w:val="0"/>
          <w:numId w:val="2"/>
        </w:numPr>
        <w:spacing w:after="55"/>
        <w:jc w:val="both"/>
      </w:pPr>
      <w:r>
        <w:rPr>
          <w:sz w:val="21"/>
          <w:szCs w:val="21"/>
        </w:rPr>
        <w:t xml:space="preserve">Legitimacy of state power depends on the actual purpose it serves — justice and public welfare — not legal authorisation alone.</w:t>
      </w:r>
    </w:p>
    <w:p>
      <w:pPr>
        <w:pStyle w:val="ListParagraph"/>
        <w:numPr>
          <w:ilvl w:val="0"/>
          <w:numId w:val="2"/>
        </w:numPr>
        <w:spacing w:after="55"/>
        <w:jc w:val="both"/>
      </w:pPr>
      <w:r>
        <w:rPr>
          <w:sz w:val="21"/>
          <w:szCs w:val="21"/>
        </w:rPr>
        <w:t xml:space="preserve">Warns against misuse of legitimate administrative power (transfers, raids, prosecutions) for personal, political or vindictive ends — procedurally 'legal' but ethically unjust.</w:t>
      </w:r>
    </w:p>
    <w:p>
      <w:pPr>
        <w:pStyle w:val="ListParagraph"/>
        <w:numPr>
          <w:ilvl w:val="0"/>
          <w:numId w:val="2"/>
        </w:numPr>
        <w:spacing w:after="55"/>
        <w:jc w:val="both"/>
      </w:pPr>
      <w:r>
        <w:rPr>
          <w:sz w:val="21"/>
          <w:szCs w:val="21"/>
        </w:rPr>
        <w:t xml:space="preserve">Reinforces that means and ends are ethically inseparable, echoing the Gandhian view that unjust means corrupt even a just end.</w:t>
      </w:r>
    </w:p>
    <w:p>
      <w:pPr>
        <w:spacing w:after="60" w:before="80"/>
        <w:jc w:val="both"/>
      </w:pPr>
      <w:r>
        <w:rPr>
          <w:sz w:val="21"/>
          <w:szCs w:val="21"/>
        </w:rPr>
        <w:t xml:space="preserve">Conclusion: Every exercise of authority, however lawful in form, must be tested against the intent and public interest it serves, so power remains an instrument of justice, not domination.</w:t>
      </w:r>
    </w:p>
    <w:p>
      <w:pPr>
        <w:spacing w:after="80" w:before="280"/>
      </w:pPr>
      <w:r>
        <w:rPr>
          <w:b/>
          <w:bCs/>
          <w:color w:val="9C3D1E"/>
          <w:sz w:val="22"/>
          <w:szCs w:val="22"/>
        </w:rPr>
        <w:t xml:space="preserve">Q4(a). Citing the serious adverse effects of long-term medication, a doctor convinces the family of a female patient for surgery. This led the patient to reluctantly consent for the surgery, though her original choice was to opt for medication. Explain the concepts of paternalism and beneficence by analysing the doctor's action.</w:t>
      </w:r>
      <w:r>
        <w:rPr>
          <w:b/>
          <w:bCs/>
          <w:color w:val="888888"/>
          <w:sz w:val="18"/>
          <w:szCs w:val="18"/>
        </w:rPr>
        <w:t xml:space="preserve">  [10 marks | ~150 words]</w:t>
      </w:r>
    </w:p>
    <w:p>
      <w:pPr>
        <w:spacing w:after="90"/>
        <w:jc w:val="both"/>
      </w:pPr>
      <w:r>
        <w:rPr>
          <w:i/>
          <w:iCs/>
          <w:sz w:val="21"/>
          <w:szCs w:val="21"/>
        </w:rPr>
        <w:t xml:space="preserve">The case must be analysed through two distinct lenses.</w:t>
      </w:r>
    </w:p>
    <w:p>
      <w:pPr>
        <w:spacing w:after="50" w:before="120"/>
      </w:pPr>
      <w:r>
        <w:rPr>
          <w:b/>
          <w:bCs/>
          <w:color w:val="2E5C3E"/>
          <w:sz w:val="21"/>
          <w:szCs w:val="21"/>
          <w:u w:val="single"/>
        </w:rPr>
        <w:t xml:space="preserve">Beneficence</w:t>
      </w:r>
    </w:p>
    <w:p>
      <w:pPr>
        <w:pStyle w:val="ListParagraph"/>
        <w:numPr>
          <w:ilvl w:val="0"/>
          <w:numId w:val="2"/>
        </w:numPr>
        <w:spacing w:after="55"/>
        <w:jc w:val="both"/>
      </w:pPr>
      <w:r>
        <w:rPr>
          <w:sz w:val="21"/>
          <w:szCs w:val="21"/>
        </w:rPr>
        <w:t xml:space="preserve">The doctor's underlying motive — protecting the patient from grave, cumulative harm of long-term medication — is genuinely beneficent, aimed at her welfare.</w:t>
      </w:r>
    </w:p>
    <w:p>
      <w:pPr>
        <w:spacing w:after="50" w:before="120"/>
      </w:pPr>
      <w:r>
        <w:rPr>
          <w:b/>
          <w:bCs/>
          <w:color w:val="2E5C3E"/>
          <w:sz w:val="21"/>
          <w:szCs w:val="21"/>
          <w:u w:val="single"/>
        </w:rPr>
        <w:t xml:space="preserve">Paternalism</w:t>
      </w:r>
    </w:p>
    <w:p>
      <w:pPr>
        <w:pStyle w:val="ListParagraph"/>
        <w:numPr>
          <w:ilvl w:val="0"/>
          <w:numId w:val="2"/>
        </w:numPr>
        <w:spacing w:after="55"/>
        <w:jc w:val="both"/>
      </w:pPr>
      <w:r>
        <w:rPr>
          <w:sz w:val="21"/>
          <w:szCs w:val="21"/>
        </w:rPr>
        <w:t xml:space="preserve">By persuading the family rather than counselling the patient directly, and securing her 'reluctant' consent, the doctor exercised soft paternalism.</w:t>
      </w:r>
    </w:p>
    <w:p>
      <w:pPr>
        <w:pStyle w:val="ListParagraph"/>
        <w:numPr>
          <w:ilvl w:val="0"/>
          <w:numId w:val="2"/>
        </w:numPr>
        <w:spacing w:after="55"/>
        <w:jc w:val="both"/>
      </w:pPr>
      <w:r>
        <w:rPr>
          <w:sz w:val="21"/>
          <w:szCs w:val="21"/>
        </w:rPr>
        <w:t xml:space="preserve">Her original, autonomous preference for medication over surgery was effectively overridden.</w:t>
      </w:r>
    </w:p>
    <w:p>
      <w:pPr>
        <w:spacing w:after="60" w:before="80"/>
        <w:jc w:val="both"/>
      </w:pPr>
      <w:r>
        <w:rPr>
          <w:sz w:val="21"/>
          <w:szCs w:val="21"/>
        </w:rPr>
        <w:t xml:space="preserve">Conclusion: Genuine beneficence must operate within the boundary of patient autonomy; ethical practice requires shared decision-making — full disclosure and patient-centred counselling — not routing persuasion through the family.</w:t>
      </w:r>
    </w:p>
    <w:p>
      <w:pPr>
        <w:spacing w:after="80" w:before="280"/>
      </w:pPr>
      <w:r>
        <w:rPr>
          <w:b/>
          <w:bCs/>
          <w:color w:val="9C3D1E"/>
          <w:sz w:val="22"/>
          <w:szCs w:val="22"/>
        </w:rPr>
        <w:t xml:space="preserve">Q4(b). Efficiency is doing things right, while effectiveness is doing the right thing. How do you strike a balance between the two to enhance productivity?</w:t>
      </w:r>
      <w:r>
        <w:rPr>
          <w:b/>
          <w:bCs/>
          <w:color w:val="888888"/>
          <w:sz w:val="18"/>
          <w:szCs w:val="18"/>
        </w:rPr>
        <w:t xml:space="preserve">  [10 marks | ~150 words]</w:t>
      </w:r>
    </w:p>
    <w:p>
      <w:pPr>
        <w:spacing w:after="90"/>
        <w:jc w:val="both"/>
      </w:pPr>
      <w:r>
        <w:rPr>
          <w:i/>
          <w:iCs/>
          <w:sz w:val="21"/>
          <w:szCs w:val="21"/>
        </w:rPr>
        <w:t xml:space="preserve">Efficiency means doing things right (optimal use of resources); effectiveness means doing the right thing (achieving the intended goal).</w:t>
      </w:r>
    </w:p>
    <w:p>
      <w:pPr>
        <w:spacing w:after="50" w:before="120"/>
      </w:pPr>
      <w:r>
        <w:rPr>
          <w:b/>
          <w:bCs/>
          <w:color w:val="2E5C3E"/>
          <w:sz w:val="21"/>
          <w:szCs w:val="21"/>
          <w:u w:val="single"/>
        </w:rPr>
        <w:t xml:space="preserve">How to Strike the Balance</w:t>
      </w:r>
    </w:p>
    <w:p>
      <w:pPr>
        <w:pStyle w:val="ListParagraph"/>
        <w:numPr>
          <w:ilvl w:val="0"/>
          <w:numId w:val="2"/>
        </w:numPr>
        <w:spacing w:after="55"/>
        <w:jc w:val="both"/>
      </w:pPr>
      <w:r>
        <w:rPr>
          <w:sz w:val="21"/>
          <w:szCs w:val="21"/>
        </w:rPr>
        <w:t xml:space="preserve">Set clear, outcome-based goals first (effectiveness), then design efficient processes — simplified procedures, technology — to achieve them.</w:t>
      </w:r>
    </w:p>
    <w:p>
      <w:pPr>
        <w:pStyle w:val="ListParagraph"/>
        <w:numPr>
          <w:ilvl w:val="0"/>
          <w:numId w:val="2"/>
        </w:numPr>
        <w:spacing w:after="55"/>
        <w:jc w:val="both"/>
      </w:pPr>
      <w:r>
        <w:rPr>
          <w:sz w:val="21"/>
          <w:szCs w:val="21"/>
        </w:rPr>
        <w:t xml:space="preserve">Track both process indicators (cost, time, wastage) and outcome indicators (actual beneficiary impact), as recommended by the 2nd ARC.</w:t>
      </w:r>
    </w:p>
    <w:p>
      <w:pPr>
        <w:pStyle w:val="ListParagraph"/>
        <w:numPr>
          <w:ilvl w:val="0"/>
          <w:numId w:val="2"/>
        </w:numPr>
        <w:spacing w:after="55"/>
        <w:jc w:val="both"/>
      </w:pPr>
      <w:r>
        <w:rPr>
          <w:sz w:val="21"/>
          <w:szCs w:val="21"/>
        </w:rPr>
        <w:t xml:space="preserve">Build a results-oriented administrative culture rather than mere procedural compliance.</w:t>
      </w:r>
    </w:p>
    <w:p>
      <w:pPr>
        <w:pStyle w:val="ListParagraph"/>
        <w:numPr>
          <w:ilvl w:val="0"/>
          <w:numId w:val="2"/>
        </w:numPr>
        <w:spacing w:after="55"/>
        <w:jc w:val="both"/>
      </w:pPr>
      <w:r>
        <w:rPr>
          <w:sz w:val="21"/>
          <w:szCs w:val="21"/>
        </w:rPr>
        <w:t xml:space="preserve">Institute periodic evaluation and course correction.</w:t>
      </w:r>
    </w:p>
    <w:p>
      <w:pPr>
        <w:spacing w:after="60" w:before="80"/>
        <w:jc w:val="both"/>
      </w:pPr>
      <w:r>
        <w:rPr>
          <w:sz w:val="21"/>
          <w:szCs w:val="21"/>
        </w:rPr>
        <w:t xml:space="preserve">Conclusion: True productivity is enhanced only when efficiency serves effectiveness, not when either is pursued in isolation.</w:t>
      </w:r>
    </w:p>
    <w:p>
      <w:pPr>
        <w:spacing w:after="80" w:before="280"/>
      </w:pPr>
      <w:r>
        <w:rPr>
          <w:b/>
          <w:bCs/>
          <w:color w:val="9C3D1E"/>
          <w:sz w:val="22"/>
          <w:szCs w:val="22"/>
        </w:rPr>
        <w:t xml:space="preserve">Q5(a). Usually schools, working in remote areas, do not fully comply with government regulations. However, if the rules are enforced strictly, it would lead to most schools closing down. How should an administrator strike a balance between enforcement of rules and educational rights of children?</w:t>
      </w:r>
      <w:r>
        <w:rPr>
          <w:b/>
          <w:bCs/>
          <w:color w:val="888888"/>
          <w:sz w:val="18"/>
          <w:szCs w:val="18"/>
        </w:rPr>
        <w:t xml:space="preserve">  [10 marks | ~150 words]</w:t>
      </w:r>
    </w:p>
    <w:p>
      <w:pPr>
        <w:spacing w:after="90"/>
        <w:jc w:val="both"/>
      </w:pPr>
      <w:r>
        <w:rPr>
          <w:i/>
          <w:iCs/>
          <w:sz w:val="21"/>
          <w:szCs w:val="21"/>
        </w:rPr>
        <w:t xml:space="preserve">The dilemma requires reconciling regulatory compliance with children's right to education under Article 21A.</w:t>
      </w:r>
    </w:p>
    <w:p>
      <w:pPr>
        <w:spacing w:after="50" w:before="120"/>
      </w:pPr>
      <w:r>
        <w:rPr>
          <w:b/>
          <w:bCs/>
          <w:color w:val="2E5C3E"/>
          <w:sz w:val="21"/>
          <w:szCs w:val="21"/>
          <w:u w:val="single"/>
        </w:rPr>
        <w:t xml:space="preserve">Balanced Administrative Approach</w:t>
      </w:r>
    </w:p>
    <w:p>
      <w:pPr>
        <w:pStyle w:val="ListParagraph"/>
        <w:numPr>
          <w:ilvl w:val="0"/>
          <w:numId w:val="2"/>
        </w:numPr>
        <w:spacing w:after="55"/>
        <w:jc w:val="both"/>
      </w:pPr>
      <w:r>
        <w:rPr>
          <w:sz w:val="21"/>
          <w:szCs w:val="21"/>
        </w:rPr>
        <w:t xml:space="preserve">Adopt graded, phased enforcement — a reasonable, monitored timeline to meet norms rather than immediate closure.</w:t>
      </w:r>
    </w:p>
    <w:p>
      <w:pPr>
        <w:pStyle w:val="ListParagraph"/>
        <w:numPr>
          <w:ilvl w:val="0"/>
          <w:numId w:val="2"/>
        </w:numPr>
        <w:spacing w:after="55"/>
        <w:jc w:val="both"/>
      </w:pPr>
      <w:r>
        <w:rPr>
          <w:sz w:val="21"/>
          <w:szCs w:val="21"/>
        </w:rPr>
        <w:t xml:space="preserve">Treat minimum safety and teaching-quality standards as non-negotiable, while relaxing purely infrastructural requirements temporarily.</w:t>
      </w:r>
    </w:p>
    <w:p>
      <w:pPr>
        <w:pStyle w:val="ListParagraph"/>
        <w:numPr>
          <w:ilvl w:val="0"/>
          <w:numId w:val="2"/>
        </w:numPr>
        <w:spacing w:after="55"/>
        <w:jc w:val="both"/>
      </w:pPr>
      <w:r>
        <w:rPr>
          <w:sz w:val="21"/>
          <w:szCs w:val="21"/>
        </w:rPr>
        <w:t xml:space="preserve">Extend state support — grants, teacher training, infrastructure funding — to help resource-constrained schools comply.</w:t>
      </w:r>
    </w:p>
    <w:p>
      <w:pPr>
        <w:pStyle w:val="ListParagraph"/>
        <w:numPr>
          <w:ilvl w:val="0"/>
          <w:numId w:val="2"/>
        </w:numPr>
        <w:spacing w:after="55"/>
        <w:jc w:val="both"/>
      </w:pPr>
      <w:r>
        <w:rPr>
          <w:sz w:val="21"/>
          <w:szCs w:val="21"/>
        </w:rPr>
        <w:t xml:space="preserve">Explore alternative models — cluster/resource schools, community-supported arrangements — till full compliance is achieved.</w:t>
      </w:r>
    </w:p>
    <w:p>
      <w:pPr>
        <w:pStyle w:val="ListParagraph"/>
        <w:numPr>
          <w:ilvl w:val="0"/>
          <w:numId w:val="2"/>
        </w:numPr>
        <w:spacing w:after="55"/>
        <w:jc w:val="both"/>
      </w:pPr>
      <w:r>
        <w:rPr>
          <w:sz w:val="21"/>
          <w:szCs w:val="21"/>
        </w:rPr>
        <w:t xml:space="preserve">Consult continuously with parents and school management.</w:t>
      </w:r>
    </w:p>
    <w:p>
      <w:pPr>
        <w:spacing w:after="60" w:before="80"/>
        <w:jc w:val="both"/>
      </w:pPr>
      <w:r>
        <w:rPr>
          <w:sz w:val="21"/>
          <w:szCs w:val="21"/>
        </w:rPr>
        <w:t xml:space="preserve">Conclusion: The administrator's role must be that of a facilitator of rights, not merely an enforcer of rules.</w:t>
      </w:r>
    </w:p>
    <w:p>
      <w:pPr>
        <w:spacing w:after="80" w:before="280"/>
      </w:pPr>
      <w:r>
        <w:rPr>
          <w:b/>
          <w:bCs/>
          <w:color w:val="9C3D1E"/>
          <w:sz w:val="22"/>
          <w:szCs w:val="22"/>
        </w:rPr>
        <w:t xml:space="preserve">Q5(b). In international relations, ethical considerations are often subjugated to the strategic interests of nation-states. Discuss this from an ethical perspective.</w:t>
      </w:r>
      <w:r>
        <w:rPr>
          <w:b/>
          <w:bCs/>
          <w:color w:val="888888"/>
          <w:sz w:val="18"/>
          <w:szCs w:val="18"/>
        </w:rPr>
        <w:t xml:space="preserve">  [10 marks | ~150 words]</w:t>
      </w:r>
    </w:p>
    <w:p>
      <w:pPr>
        <w:spacing w:after="90"/>
        <w:jc w:val="both"/>
      </w:pPr>
      <w:r>
        <w:rPr>
          <w:i/>
          <w:iCs/>
          <w:sz w:val="21"/>
          <w:szCs w:val="21"/>
        </w:rPr>
        <w:t xml:space="preserve">The realist tradition (Machiavelli, Morgenthau) holds that states pursue power/security in an anarchic system, often overriding ethics.</w:t>
      </w:r>
    </w:p>
    <w:p>
      <w:pPr>
        <w:spacing w:after="50" w:before="120"/>
      </w:pPr>
      <w:r>
        <w:rPr>
          <w:b/>
          <w:bCs/>
          <w:color w:val="2E5C3E"/>
          <w:sz w:val="21"/>
          <w:szCs w:val="21"/>
          <w:u w:val="single"/>
        </w:rPr>
        <w:t xml:space="preserve">Ethical Assessment</w:t>
      </w:r>
    </w:p>
    <w:p>
      <w:pPr>
        <w:pStyle w:val="ListParagraph"/>
        <w:numPr>
          <w:ilvl w:val="0"/>
          <w:numId w:val="2"/>
        </w:numPr>
        <w:spacing w:after="55"/>
        <w:jc w:val="both"/>
      </w:pPr>
      <w:r>
        <w:rPr>
          <w:sz w:val="21"/>
          <w:szCs w:val="21"/>
        </w:rPr>
        <w:t xml:space="preserve">Examples: arms sales to authoritarian regimes; silence on allies' human-rights violations; diluted environmental commitments for competitiveness.</w:t>
      </w:r>
    </w:p>
    <w:p>
      <w:pPr>
        <w:pStyle w:val="ListParagraph"/>
        <w:numPr>
          <w:ilvl w:val="0"/>
          <w:numId w:val="2"/>
        </w:numPr>
        <w:spacing w:after="55"/>
        <w:jc w:val="both"/>
      </w:pPr>
      <w:r>
        <w:rPr>
          <w:sz w:val="21"/>
          <w:szCs w:val="21"/>
        </w:rPr>
        <w:t xml:space="preserve">Taken to an extreme, this legitimises double standards and erodes the moral authority/soft power a nation needs for lasting influence.</w:t>
      </w:r>
    </w:p>
    <w:p>
      <w:pPr>
        <w:pStyle w:val="ListParagraph"/>
        <w:numPr>
          <w:ilvl w:val="0"/>
          <w:numId w:val="2"/>
        </w:numPr>
        <w:spacing w:after="55"/>
        <w:jc w:val="both"/>
      </w:pPr>
      <w:r>
        <w:rPr>
          <w:sz w:val="21"/>
          <w:szCs w:val="21"/>
        </w:rPr>
        <w:t xml:space="preserve">India's civilisational ethic — Vasudhaiva Kutumbakam, Panchsheel, Gandhian non-violence — has sought to balance strategic autonomy with normative commitments.</w:t>
      </w:r>
    </w:p>
    <w:p>
      <w:pPr>
        <w:pStyle w:val="ListParagraph"/>
        <w:numPr>
          <w:ilvl w:val="0"/>
          <w:numId w:val="2"/>
        </w:numPr>
        <w:spacing w:after="55"/>
        <w:jc w:val="both"/>
      </w:pPr>
      <w:r>
        <w:rPr>
          <w:sz w:val="21"/>
          <w:szCs w:val="21"/>
        </w:rPr>
        <w:t xml:space="preserve">Global challenges (climate change, pandemics, terrorism) are collective-action problems demanding cooperative, rules-based ethics over narrow strategic calculus.</w:t>
      </w:r>
    </w:p>
    <w:p>
      <w:pPr>
        <w:spacing w:after="60" w:before="80"/>
        <w:jc w:val="both"/>
      </w:pPr>
      <w:r>
        <w:rPr>
          <w:sz w:val="21"/>
          <w:szCs w:val="21"/>
        </w:rPr>
        <w:t xml:space="preserve">Conclusion: Enlightened self-interest — pursuing strategic goals within an ethical, rules-based framework — yields more durable, legitimate outcomes than short-term realpolitik.</w:t>
      </w:r>
    </w:p>
    <w:p>
      <w:pPr>
        <w:spacing w:after="80" w:before="280"/>
      </w:pPr>
      <w:r>
        <w:rPr>
          <w:b/>
          <w:bCs/>
          <w:color w:val="9C3D1E"/>
          <w:sz w:val="22"/>
          <w:szCs w:val="22"/>
        </w:rPr>
        <w:t xml:space="preserve">Q6(a). On the request of his Personal Assistant (PA), the District Magistrate (DM) stops the transfer of a schoolteacher who takes private tuition for his daughter diagnosed with learning disability. In this context, discuss the aspects of empathy versus compliance with rules.</w:t>
      </w:r>
      <w:r>
        <w:rPr>
          <w:b/>
          <w:bCs/>
          <w:color w:val="888888"/>
          <w:sz w:val="18"/>
          <w:szCs w:val="18"/>
        </w:rPr>
        <w:t xml:space="preserve">  [10 marks | ~150 words]</w:t>
      </w:r>
    </w:p>
    <w:p>
      <w:pPr>
        <w:spacing w:after="90"/>
        <w:jc w:val="both"/>
      </w:pPr>
      <w:r>
        <w:rPr>
          <w:i/>
          <w:iCs/>
          <w:sz w:val="21"/>
          <w:szCs w:val="21"/>
        </w:rPr>
        <w:t xml:space="preserve">The case presents a genuine conflict between empathy and rule-based compliance.</w:t>
      </w:r>
    </w:p>
    <w:p>
      <w:pPr>
        <w:spacing w:after="50" w:before="120"/>
      </w:pPr>
      <w:r>
        <w:rPr>
          <w:b/>
          <w:bCs/>
          <w:color w:val="2E5C3E"/>
          <w:sz w:val="21"/>
          <w:szCs w:val="21"/>
          <w:u w:val="single"/>
        </w:rPr>
        <w:t xml:space="preserve">In Favour of the DM's Action (Empathy)</w:t>
      </w:r>
    </w:p>
    <w:p>
      <w:pPr>
        <w:pStyle w:val="ListParagraph"/>
        <w:numPr>
          <w:ilvl w:val="0"/>
          <w:numId w:val="2"/>
        </w:numPr>
        <w:spacing w:after="55"/>
        <w:jc w:val="both"/>
      </w:pPr>
      <w:r>
        <w:rPr>
          <w:sz w:val="21"/>
          <w:szCs w:val="21"/>
        </w:rPr>
        <w:t xml:space="preserve">The teacher's private tuition, though technically a service-conduct violation, supports his daughter's learning disability — a sudden transfer could disrupt her therapeutic continuity.</w:t>
      </w:r>
    </w:p>
    <w:p>
      <w:pPr>
        <w:spacing w:after="50" w:before="120"/>
      </w:pPr>
      <w:r>
        <w:rPr>
          <w:b/>
          <w:bCs/>
          <w:color w:val="2E5C3E"/>
          <w:sz w:val="21"/>
          <w:szCs w:val="21"/>
          <w:u w:val="single"/>
        </w:rPr>
        <w:t xml:space="preserve">Concerns (Compliance &amp; Probity)</w:t>
      </w:r>
    </w:p>
    <w:p>
      <w:pPr>
        <w:pStyle w:val="ListParagraph"/>
        <w:numPr>
          <w:ilvl w:val="0"/>
          <w:numId w:val="2"/>
        </w:numPr>
        <w:spacing w:after="55"/>
        <w:jc w:val="both"/>
      </w:pPr>
      <w:r>
        <w:rPr>
          <w:sz w:val="21"/>
          <w:szCs w:val="21"/>
        </w:rPr>
        <w:t xml:space="preserve">The decision was made informally on a PA's request, without a transparent, recorded process — risking nepotism and appearing as favouritism.</w:t>
      </w:r>
    </w:p>
    <w:p>
      <w:pPr>
        <w:pStyle w:val="ListParagraph"/>
        <w:numPr>
          <w:ilvl w:val="0"/>
          <w:numId w:val="2"/>
        </w:numPr>
        <w:spacing w:after="55"/>
        <w:jc w:val="both"/>
      </w:pPr>
      <w:r>
        <w:rPr>
          <w:sz w:val="21"/>
          <w:szCs w:val="21"/>
        </w:rPr>
        <w:t xml:space="preserve">Undermines equal treatment of other employees and institutional integrity.</w:t>
      </w:r>
    </w:p>
    <w:p>
      <w:pPr>
        <w:spacing w:after="60" w:before="80"/>
        <w:jc w:val="both"/>
      </w:pPr>
      <w:r>
        <w:rPr>
          <w:sz w:val="21"/>
          <w:szCs w:val="21"/>
        </w:rPr>
        <w:t xml:space="preserve">Way Forward: The humane consideration should be examined through a proper, transparent channel — a formal representation from the teacher — not informal intercession; empathy must inform discretion but be exercised accountably.</w:t>
      </w:r>
    </w:p>
    <w:p>
      <w:pPr>
        <w:spacing w:after="80" w:before="280"/>
      </w:pPr>
      <w:r>
        <w:rPr>
          <w:b/>
          <w:bCs/>
          <w:color w:val="9C3D1E"/>
          <w:sz w:val="22"/>
          <w:szCs w:val="22"/>
        </w:rPr>
        <w:t xml:space="preserve">Q6(b). Some moral philosophers argue that spending some of your resources — without significantly affecting your financial stability — to help other people who badly suffer is our moral duty and not merely a matter of charity. Justify this claim by explaining the distinction between duty and charity.</w:t>
      </w:r>
      <w:r>
        <w:rPr>
          <w:b/>
          <w:bCs/>
          <w:color w:val="888888"/>
          <w:sz w:val="18"/>
          <w:szCs w:val="18"/>
        </w:rPr>
        <w:t xml:space="preserve">  [10 marks | ~150 words]</w:t>
      </w:r>
    </w:p>
    <w:p>
      <w:pPr>
        <w:spacing w:after="90"/>
        <w:jc w:val="both"/>
      </w:pPr>
      <w:r>
        <w:rPr>
          <w:i/>
          <w:iCs/>
          <w:sz w:val="21"/>
          <w:szCs w:val="21"/>
        </w:rPr>
        <w:t xml:space="preserve">Charity is traditionally supererogatory — praiseworthy if done, not blameworthy if omitted. Duty is obligatory — its omission is a moral failure.</w:t>
      </w:r>
    </w:p>
    <w:p>
      <w:pPr>
        <w:spacing w:after="50" w:before="120"/>
      </w:pPr>
      <w:r>
        <w:rPr>
          <w:b/>
          <w:bCs/>
          <w:color w:val="2E5C3E"/>
          <w:sz w:val="21"/>
          <w:szCs w:val="21"/>
          <w:u w:val="single"/>
        </w:rPr>
        <w:t xml:space="preserve">The Argument (Peter Singer)</w:t>
      </w:r>
    </w:p>
    <w:p>
      <w:pPr>
        <w:pStyle w:val="ListParagraph"/>
        <w:numPr>
          <w:ilvl w:val="0"/>
          <w:numId w:val="2"/>
        </w:numPr>
        <w:spacing w:after="55"/>
        <w:jc w:val="both"/>
      </w:pPr>
      <w:r>
        <w:rPr>
          <w:sz w:val="21"/>
          <w:szCs w:val="21"/>
        </w:rPr>
        <w:t xml:space="preserve">If we can prevent serious suffering (poverty, starvation) at little cost to ourselves, we are morally obligated to — as with saving a drowning child at the cost of ruined clothes.</w:t>
      </w:r>
    </w:p>
    <w:p>
      <w:pPr>
        <w:pStyle w:val="ListParagraph"/>
        <w:numPr>
          <w:ilvl w:val="0"/>
          <w:numId w:val="2"/>
        </w:numPr>
        <w:spacing w:after="55"/>
        <w:jc w:val="both"/>
      </w:pPr>
      <w:r>
        <w:rPr>
          <w:sz w:val="21"/>
          <w:szCs w:val="21"/>
        </w:rPr>
        <w:t xml:space="preserve">The moral weight of preventable suffering does not diminish because the sufferer is distant.</w:t>
      </w:r>
    </w:p>
    <w:p>
      <w:pPr>
        <w:pStyle w:val="ListParagraph"/>
        <w:numPr>
          <w:ilvl w:val="0"/>
          <w:numId w:val="2"/>
        </w:numPr>
        <w:spacing w:after="55"/>
        <w:jc w:val="both"/>
      </w:pPr>
      <w:r>
        <w:rPr>
          <w:sz w:val="21"/>
          <w:szCs w:val="21"/>
        </w:rPr>
        <w:t xml:space="preserve">Failing to help, when one has surplus capacity, is ethically comparable to allowing a harm one could easily have prevented.</w:t>
      </w:r>
    </w:p>
    <w:p>
      <w:pPr>
        <w:spacing w:after="60" w:before="80"/>
        <w:jc w:val="both"/>
      </w:pPr>
      <w:r>
        <w:rPr>
          <w:sz w:val="21"/>
          <w:szCs w:val="21"/>
        </w:rPr>
        <w:t xml:space="preserve">Conclusion: This reframes helping others as an active moral duty grounded in impartial human welfare — resonant with India's own ethic of Daan and Seva.</w:t>
      </w:r>
    </w:p>
    <w:p>
      <w:pPr>
        <w:pageBreakBefore/>
      </w:pPr>
    </w:p>
    <w:p>
      <w:pPr>
        <w:pStyle w:val="Heading1"/>
        <w:pBdr>
          <w:bottom w:val="single" w:color="1F4E5F" w:sz="6" w:space="2"/>
        </w:pBdr>
        <w:spacing w:after="120" w:before="320"/>
      </w:pPr>
      <w:r>
        <w:rPr>
          <w:b/>
          <w:bCs/>
          <w:color w:val="1F4E5F"/>
          <w:sz w:val="26"/>
          <w:szCs w:val="26"/>
        </w:rPr>
        <w:t xml:space="preserve">SECTION — B  (Case Studies)</w:t>
      </w:r>
    </w:p>
    <w:p>
      <w:pPr>
        <w:spacing w:after="90"/>
        <w:jc w:val="both"/>
      </w:pPr>
      <w:r>
        <w:rPr>
          <w:i/>
          <w:iCs/>
          <w:sz w:val="21"/>
          <w:szCs w:val="21"/>
        </w:rPr>
        <w:t xml:space="preserve">Each case study carries 20 marks with a combined word limit of ~250 words for both sub-parts (a) and (b), as specified in the question paper. Answers below are organised directly under the (a)/(b) sub-demands of each question.</w:t>
      </w:r>
    </w:p>
    <w:p>
      <w:pPr>
        <w:spacing w:after="80" w:before="280"/>
      </w:pPr>
      <w:r>
        <w:rPr>
          <w:b/>
          <w:bCs/>
          <w:color w:val="9C3D1E"/>
          <w:sz w:val="22"/>
          <w:szCs w:val="22"/>
        </w:rPr>
        <w:t xml:space="preserve">Q7. Dr. Mansi's team, on discovering a possible malignant tumour during Lata's diagnostic laparoscopy, performed a hysterectomy after obtaining her sister-in-law Sujatha's written consent, without waking or separately consulting Lata. Lata, informed the next day, felt betrayed and approached the court.
(a) Discuss the ethical issues involved in this case. (b) Discuss the moral conduct of the doctor in this situation.</w:t>
      </w:r>
      <w:r>
        <w:rPr>
          <w:b/>
          <w:bCs/>
          <w:color w:val="888888"/>
          <w:sz w:val="18"/>
          <w:szCs w:val="18"/>
        </w:rPr>
        <w:t xml:space="preserve">  [20 marks | ~250 words]</w:t>
      </w:r>
    </w:p>
    <w:p>
      <w:pPr>
        <w:spacing w:after="90"/>
        <w:jc w:val="both"/>
      </w:pPr>
      <w:r>
        <w:rPr>
          <w:i/>
          <w:iCs/>
          <w:sz w:val="21"/>
          <w:szCs w:val="21"/>
        </w:rPr>
        <w:t xml:space="preserve">Stakeholders: Lata (patient), Dr. Mansi, Sujatha, the hospital, the medical profession, the judiciary.</w:t>
      </w:r>
    </w:p>
    <w:p>
      <w:pPr>
        <w:spacing w:after="50" w:before="120"/>
      </w:pPr>
      <w:r>
        <w:rPr>
          <w:b/>
          <w:bCs/>
          <w:color w:val="2E5C3E"/>
          <w:sz w:val="21"/>
          <w:szCs w:val="21"/>
          <w:u w:val="single"/>
        </w:rPr>
        <w:t xml:space="preserve">(a) Ethical Issues Involved</w:t>
      </w:r>
    </w:p>
    <w:p>
      <w:pPr>
        <w:pStyle w:val="ListParagraph"/>
        <w:numPr>
          <w:ilvl w:val="0"/>
          <w:numId w:val="2"/>
        </w:numPr>
        <w:spacing w:after="55"/>
        <w:jc w:val="both"/>
      </w:pPr>
      <w:r>
        <w:rPr>
          <w:sz w:val="21"/>
          <w:szCs w:val="21"/>
        </w:rPr>
        <w:t xml:space="preserve">Informed consent — Lata consented only to diagnostic laparoscopy, never to hysterectomy; extending the procedure without her explicit consent violates bodily autonomy (Samira Kohli v. Dr. Prabha Manchanda: consent for one procedure cannot cover an unrelated major surgery except in genuine emergency).</w:t>
      </w:r>
    </w:p>
    <w:p>
      <w:pPr>
        <w:pStyle w:val="ListParagraph"/>
        <w:numPr>
          <w:ilvl w:val="0"/>
          <w:numId w:val="2"/>
        </w:numPr>
        <w:spacing w:after="55"/>
        <w:jc w:val="both"/>
      </w:pPr>
      <w:r>
        <w:rPr>
          <w:sz w:val="21"/>
          <w:szCs w:val="21"/>
        </w:rPr>
        <w:t xml:space="preserve">Surrogate consent — Sujatha is not Lata's legally authorised decision-maker; her consent cannot substitute Lata's own for an irreversible procedure.</w:t>
      </w:r>
    </w:p>
    <w:p>
      <w:pPr>
        <w:pStyle w:val="ListParagraph"/>
        <w:numPr>
          <w:ilvl w:val="0"/>
          <w:numId w:val="2"/>
        </w:numPr>
        <w:spacing w:after="55"/>
        <w:jc w:val="both"/>
      </w:pPr>
      <w:r>
        <w:rPr>
          <w:sz w:val="21"/>
          <w:szCs w:val="21"/>
        </w:rPr>
        <w:t xml:space="preserve">Paternalism vs. autonomy — Dr. Mansi's clinically well-meant decision substituted her own risk-judgement for Lata's right to decide about her own body.</w:t>
      </w:r>
    </w:p>
    <w:p>
      <w:pPr>
        <w:pStyle w:val="ListParagraph"/>
        <w:numPr>
          <w:ilvl w:val="0"/>
          <w:numId w:val="2"/>
        </w:numPr>
        <w:spacing w:after="55"/>
        <w:jc w:val="both"/>
      </w:pPr>
      <w:r>
        <w:rPr>
          <w:sz w:val="21"/>
          <w:szCs w:val="21"/>
        </w:rPr>
        <w:t xml:space="preserve">Communication failure — no prior contingency discussion with Lata about 'what if a tumour is found.'</w:t>
      </w:r>
    </w:p>
    <w:p>
      <w:pPr>
        <w:spacing w:after="50" w:before="120"/>
      </w:pPr>
      <w:r>
        <w:rPr>
          <w:b/>
          <w:bCs/>
          <w:color w:val="2E5C3E"/>
          <w:sz w:val="21"/>
          <w:szCs w:val="21"/>
          <w:u w:val="single"/>
        </w:rPr>
        <w:t xml:space="preserve">(b) Moral Conduct of the Doctor</w:t>
      </w:r>
    </w:p>
    <w:p>
      <w:pPr>
        <w:pStyle w:val="ListParagraph"/>
        <w:numPr>
          <w:ilvl w:val="0"/>
          <w:numId w:val="2"/>
        </w:numPr>
        <w:spacing w:after="55"/>
        <w:jc w:val="both"/>
      </w:pPr>
      <w:r>
        <w:rPr>
          <w:sz w:val="21"/>
          <w:szCs w:val="21"/>
        </w:rPr>
        <w:t xml:space="preserve">Motive was genuinely beneficent — sparing Lata a second major surgery — but 'possible malignancy requiring biopsy' does not meet the threshold of a life-threatening emergency justifying bypassed consent.</w:t>
      </w:r>
    </w:p>
    <w:p>
      <w:pPr>
        <w:pStyle w:val="ListParagraph"/>
        <w:numPr>
          <w:ilvl w:val="0"/>
          <w:numId w:val="2"/>
        </w:numPr>
        <w:spacing w:after="55"/>
        <w:jc w:val="both"/>
      </w:pPr>
      <w:r>
        <w:rPr>
          <w:sz w:val="21"/>
          <w:szCs w:val="21"/>
        </w:rPr>
        <w:t xml:space="preserve">Correct standard of care: take a biopsy, close the procedure, and proceed to hysterectomy only with Lata's own informed consent afterward — or obtain her advance consent for extension beforehand.</w:t>
      </w:r>
    </w:p>
    <w:p>
      <w:pPr>
        <w:pStyle w:val="ListParagraph"/>
        <w:numPr>
          <w:ilvl w:val="0"/>
          <w:numId w:val="2"/>
        </w:numPr>
        <w:spacing w:after="55"/>
        <w:jc w:val="both"/>
      </w:pPr>
      <w:r>
        <w:rPr>
          <w:sz w:val="21"/>
          <w:szCs w:val="21"/>
        </w:rPr>
        <w:t xml:space="preserve">Not criminally negligent, but reflects a real, avoidable lapse in patient-centred care and respect for autonomy — obligations that cannot be waived for clinical convenience.</w:t>
      </w:r>
    </w:p>
    <w:p>
      <w:pPr>
        <w:spacing w:after="80" w:before="280"/>
      </w:pPr>
      <w:r>
        <w:rPr>
          <w:b/>
          <w:bCs/>
          <w:color w:val="9C3D1E"/>
          <w:sz w:val="22"/>
          <w:szCs w:val="22"/>
        </w:rPr>
        <w:t xml:space="preserve">Q8. SP Ravi's AI-enabled predictive-policing system — using biometric data matched against a crime database — has improved public order but has been alleged by community leaders and rights activists to be biased due to discriminatory historical data, and to have created a climate of surveillance-related tension.
(a) What are the ethical issues, including biases, involved in the use of AI in data-driven policing? (b) Place yourself in Ravi's role and discuss the alternatives available. Justify the action that optimises compliance with ethics.</w:t>
      </w:r>
      <w:r>
        <w:rPr>
          <w:b/>
          <w:bCs/>
          <w:color w:val="888888"/>
          <w:sz w:val="18"/>
          <w:szCs w:val="18"/>
        </w:rPr>
        <w:t xml:space="preserve">  [20 marks | ~250 words]</w:t>
      </w:r>
    </w:p>
    <w:p>
      <w:pPr>
        <w:spacing w:after="50" w:before="120"/>
      </w:pPr>
      <w:r>
        <w:rPr>
          <w:b/>
          <w:bCs/>
          <w:color w:val="2E5C3E"/>
          <w:sz w:val="21"/>
          <w:szCs w:val="21"/>
          <w:u w:val="single"/>
        </w:rPr>
        <w:t xml:space="preserve">(a) Ethical Issues Including Bias</w:t>
      </w:r>
    </w:p>
    <w:p>
      <w:pPr>
        <w:pStyle w:val="ListParagraph"/>
        <w:numPr>
          <w:ilvl w:val="0"/>
          <w:numId w:val="2"/>
        </w:numPr>
        <w:spacing w:after="55"/>
        <w:jc w:val="both"/>
      </w:pPr>
      <w:r>
        <w:rPr>
          <w:sz w:val="21"/>
          <w:szCs w:val="21"/>
        </w:rPr>
        <w:t xml:space="preserve">Algorithmic bias — a system trained on historical data reflecting discriminatory policing perpetuates and amplifies bias, creating a feedback loop (more patrolling → more 'crime data' → reinforced bias).</w:t>
      </w:r>
    </w:p>
    <w:p>
      <w:pPr>
        <w:pStyle w:val="ListParagraph"/>
        <w:numPr>
          <w:ilvl w:val="0"/>
          <w:numId w:val="2"/>
        </w:numPr>
        <w:spacing w:after="55"/>
        <w:jc w:val="both"/>
      </w:pPr>
      <w:r>
        <w:rPr>
          <w:sz w:val="21"/>
          <w:szCs w:val="21"/>
        </w:rPr>
        <w:t xml:space="preserve">Privacy — capturing biometric data of persons in a crowd without knowledge violates informational privacy (Puttaswamy judgment).</w:t>
      </w:r>
    </w:p>
    <w:p>
      <w:pPr>
        <w:pStyle w:val="ListParagraph"/>
        <w:numPr>
          <w:ilvl w:val="0"/>
          <w:numId w:val="2"/>
        </w:numPr>
        <w:spacing w:after="55"/>
        <w:jc w:val="both"/>
      </w:pPr>
      <w:r>
        <w:rPr>
          <w:sz w:val="21"/>
          <w:szCs w:val="21"/>
        </w:rPr>
        <w:t xml:space="preserve">Due process — residents unaware of data held against them cannot contest or correct errors.</w:t>
      </w:r>
    </w:p>
    <w:p>
      <w:pPr>
        <w:pStyle w:val="ListParagraph"/>
        <w:numPr>
          <w:ilvl w:val="0"/>
          <w:numId w:val="2"/>
        </w:numPr>
        <w:spacing w:after="55"/>
        <w:jc w:val="both"/>
      </w:pPr>
      <w:r>
        <w:rPr>
          <w:sz w:val="21"/>
          <w:szCs w:val="21"/>
        </w:rPr>
        <w:t xml:space="preserve">Presumption of guilt — profiling a neighbourhood as a 'crime centre' stigmatises innocent residents based on statistical correlation, not individual conduct.</w:t>
      </w:r>
    </w:p>
    <w:p>
      <w:pPr>
        <w:pStyle w:val="ListParagraph"/>
        <w:numPr>
          <w:ilvl w:val="0"/>
          <w:numId w:val="2"/>
        </w:numPr>
        <w:spacing w:after="55"/>
        <w:jc w:val="both"/>
      </w:pPr>
      <w:r>
        <w:rPr>
          <w:sz w:val="21"/>
          <w:szCs w:val="21"/>
        </w:rPr>
        <w:t xml:space="preserve">Accountability — opacity of algorithmic decisions makes it hard to fix responsibility for wrongful targeting.</w:t>
      </w:r>
    </w:p>
    <w:p>
      <w:pPr>
        <w:spacing w:after="50" w:before="120"/>
      </w:pPr>
      <w:r>
        <w:rPr>
          <w:b/>
          <w:bCs/>
          <w:color w:val="2E5C3E"/>
          <w:sz w:val="21"/>
          <w:szCs w:val="21"/>
          <w:u w:val="single"/>
        </w:rPr>
        <w:t xml:space="preserve">(b) Alternatives for Ravi &amp; Recommended Action</w:t>
      </w:r>
    </w:p>
    <w:p>
      <w:pPr>
        <w:pStyle w:val="ListParagraph"/>
        <w:numPr>
          <w:ilvl w:val="0"/>
          <w:numId w:val="2"/>
        </w:numPr>
        <w:spacing w:after="55"/>
        <w:jc w:val="both"/>
      </w:pPr>
      <w:r>
        <w:rPr>
          <w:sz w:val="21"/>
          <w:szCs w:val="21"/>
        </w:rPr>
        <w:t xml:space="preserve">Option 1: Continue system unchanged — ignores real, documented harms.</w:t>
      </w:r>
    </w:p>
    <w:p>
      <w:pPr>
        <w:pStyle w:val="ListParagraph"/>
        <w:numPr>
          <w:ilvl w:val="0"/>
          <w:numId w:val="2"/>
        </w:numPr>
        <w:spacing w:after="55"/>
        <w:jc w:val="both"/>
      </w:pPr>
      <w:r>
        <w:rPr>
          <w:sz w:val="21"/>
          <w:szCs w:val="21"/>
        </w:rPr>
        <w:t xml:space="preserve">Option 2: Discontinue entirely — discards a useful law-and-order tool.</w:t>
      </w:r>
    </w:p>
    <w:p>
      <w:pPr>
        <w:pStyle w:val="ListParagraph"/>
        <w:numPr>
          <w:ilvl w:val="0"/>
          <w:numId w:val="2"/>
        </w:numPr>
        <w:spacing w:after="55"/>
        <w:jc w:val="both"/>
      </w:pPr>
      <w:r>
        <w:rPr>
          <w:sz w:val="21"/>
          <w:szCs w:val="21"/>
        </w:rPr>
        <w:t xml:space="preserve">Option 3 (Recommended): Suspend, audit and reform — commission an independent bias audit of data/algorithm; introduce transparency and grievance redress for residents; require mandatory human oversight before any coercive action based on an AI flag; engage community leaders in co-designing safeguards; restrict biometric capture to a targeted, legally sanctioned basis.</w:t>
      </w:r>
    </w:p>
    <w:p>
      <w:pPr>
        <w:spacing w:after="80" w:before="280"/>
      </w:pPr>
      <w:r>
        <w:rPr>
          <w:b/>
          <w:bCs/>
          <w:color w:val="9C3D1E"/>
          <w:sz w:val="22"/>
          <w:szCs w:val="22"/>
        </w:rPr>
        <w:t xml:space="preserve">Q9. DC Seema finds a large backlog of change-of-land-use (CLU) applications, with some approved selectively and complaints of large bribes; a tout network, working with subordinate officials, controls this activity, creating fear among other employees.
(a) What are the ethical issues involved in this case? (b) Discuss the options open to Seema. Identify the recommended option and justify it.</w:t>
      </w:r>
      <w:r>
        <w:rPr>
          <w:b/>
          <w:bCs/>
          <w:color w:val="888888"/>
          <w:sz w:val="18"/>
          <w:szCs w:val="18"/>
        </w:rPr>
        <w:t xml:space="preserve">  [20 marks | ~250 words]</w:t>
      </w:r>
    </w:p>
    <w:p>
      <w:pPr>
        <w:spacing w:after="50" w:before="120"/>
      </w:pPr>
      <w:r>
        <w:rPr>
          <w:b/>
          <w:bCs/>
          <w:color w:val="2E5C3E"/>
          <w:sz w:val="21"/>
          <w:szCs w:val="21"/>
          <w:u w:val="single"/>
        </w:rPr>
        <w:t xml:space="preserve">(a) Ethical Issues Involved</w:t>
      </w:r>
    </w:p>
    <w:p>
      <w:pPr>
        <w:pStyle w:val="ListParagraph"/>
        <w:numPr>
          <w:ilvl w:val="0"/>
          <w:numId w:val="2"/>
        </w:numPr>
        <w:spacing w:after="55"/>
        <w:jc w:val="both"/>
      </w:pPr>
      <w:r>
        <w:rPr>
          <w:sz w:val="21"/>
          <w:szCs w:val="21"/>
        </w:rPr>
        <w:t xml:space="preserve">Systemic corruption/bribery by a tout network operating through subordinate officials.</w:t>
      </w:r>
    </w:p>
    <w:p>
      <w:pPr>
        <w:pStyle w:val="ListParagraph"/>
        <w:numPr>
          <w:ilvl w:val="0"/>
          <w:numId w:val="2"/>
        </w:numPr>
        <w:spacing w:after="55"/>
        <w:jc w:val="both"/>
      </w:pPr>
      <w:r>
        <w:rPr>
          <w:sz w:val="21"/>
          <w:szCs w:val="21"/>
        </w:rPr>
        <w:t xml:space="preserve">Abuse of discretionary power reflected in selective, non-chronological approvals.</w:t>
      </w:r>
    </w:p>
    <w:p>
      <w:pPr>
        <w:pStyle w:val="ListParagraph"/>
        <w:numPr>
          <w:ilvl w:val="0"/>
          <w:numId w:val="2"/>
        </w:numPr>
        <w:spacing w:after="55"/>
        <w:jc w:val="both"/>
      </w:pPr>
      <w:r>
        <w:rPr>
          <w:sz w:val="21"/>
          <w:szCs w:val="21"/>
        </w:rPr>
        <w:t xml:space="preserve">Climate of fear discouraging honest employees from processing files.</w:t>
      </w:r>
    </w:p>
    <w:p>
      <w:pPr>
        <w:pStyle w:val="ListParagraph"/>
        <w:numPr>
          <w:ilvl w:val="0"/>
          <w:numId w:val="2"/>
        </w:numPr>
        <w:spacing w:after="55"/>
        <w:jc w:val="both"/>
      </w:pPr>
      <w:r>
        <w:rPr>
          <w:sz w:val="21"/>
          <w:szCs w:val="21"/>
        </w:rPr>
        <w:t xml:space="preserve">Erosion of citizens' trust; harm to farmers and local economic progress from delay and extortion.</w:t>
      </w:r>
    </w:p>
    <w:p>
      <w:pPr>
        <w:pStyle w:val="ListParagraph"/>
        <w:numPr>
          <w:ilvl w:val="0"/>
          <w:numId w:val="2"/>
        </w:numPr>
        <w:spacing w:after="55"/>
        <w:jc w:val="both"/>
      </w:pPr>
      <w:r>
        <w:rPr>
          <w:sz w:val="21"/>
          <w:szCs w:val="21"/>
        </w:rPr>
        <w:t xml:space="preserve">Competing duty — maintaining daily administrative continuity vs. taking firm corrective action.</w:t>
      </w:r>
    </w:p>
    <w:p>
      <w:pPr>
        <w:spacing w:after="50" w:before="120"/>
      </w:pPr>
      <w:r>
        <w:rPr>
          <w:b/>
          <w:bCs/>
          <w:color w:val="2E5C3E"/>
          <w:sz w:val="21"/>
          <w:szCs w:val="21"/>
          <w:u w:val="single"/>
        </w:rPr>
        <w:t xml:space="preserve">(b) Options Open to Seema</w:t>
      </w:r>
    </w:p>
    <w:p>
      <w:pPr>
        <w:pStyle w:val="ListParagraph"/>
        <w:numPr>
          <w:ilvl w:val="0"/>
          <w:numId w:val="2"/>
        </w:numPr>
        <w:spacing w:after="55"/>
        <w:jc w:val="both"/>
      </w:pPr>
      <w:r>
        <w:rPr>
          <w:sz w:val="21"/>
          <w:szCs w:val="21"/>
        </w:rPr>
        <w:t xml:space="preserve">Option 1: Immediate mass crackdown/suspension — risks institutional paralysis and backlash.</w:t>
      </w:r>
    </w:p>
    <w:p>
      <w:pPr>
        <w:pStyle w:val="ListParagraph"/>
        <w:numPr>
          <w:ilvl w:val="0"/>
          <w:numId w:val="2"/>
        </w:numPr>
        <w:spacing w:after="55"/>
        <w:jc w:val="both"/>
      </w:pPr>
      <w:r>
        <w:rPr>
          <w:sz w:val="21"/>
          <w:szCs w:val="21"/>
        </w:rPr>
        <w:t xml:space="preserve">Option 2: Ignore the situation — perpetuates corruption, betrays public trust.</w:t>
      </w:r>
    </w:p>
    <w:p>
      <w:pPr>
        <w:pStyle w:val="ListParagraph"/>
        <w:numPr>
          <w:ilvl w:val="0"/>
          <w:numId w:val="2"/>
        </w:numPr>
        <w:spacing w:after="55"/>
        <w:jc w:val="both"/>
      </w:pPr>
      <w:r>
        <w:rPr>
          <w:sz w:val="21"/>
          <w:szCs w:val="21"/>
        </w:rPr>
        <w:t xml:space="preserve">Option 3 (Recommended): Calibrated, phased response — discreet vigilance inquiry to identify key operators; systemic reform (online, timeline-bound CLU tracking with public dashboard) removing discretion at source; targeted, evidence-based action against identified corrupt officials in coordination with vigilance authorities; protection for whistle-blowers; grievance redress for farmers; transparent public communication.</w:t>
      </w:r>
    </w:p>
    <w:p>
      <w:pPr>
        <w:spacing w:after="80" w:before="280"/>
      </w:pPr>
      <w:r>
        <w:rPr>
          <w:b/>
          <w:bCs/>
          <w:color w:val="9C3D1E"/>
          <w:sz w:val="22"/>
          <w:szCs w:val="22"/>
        </w:rPr>
        <w:t xml:space="preserve">Q10. In remote, hilly Nainipura, mandatory biometric authentication for the PDS often fails for growing children, manual labourers and senior citizens, worsened by low connectivity, forcing distributors to use personal discretion. DC Vikas must address this on priority.
(a) What are the options open to Vikas? How should he balance fiscal probity with empathy towards beneficiaries? (b) Discuss the ethics of using technology as a gatekeeper for welfare schemes.</w:t>
      </w:r>
      <w:r>
        <w:rPr>
          <w:b/>
          <w:bCs/>
          <w:color w:val="888888"/>
          <w:sz w:val="18"/>
          <w:szCs w:val="18"/>
        </w:rPr>
        <w:t xml:space="preserve">  [20 marks | ~250 words]</w:t>
      </w:r>
    </w:p>
    <w:p>
      <w:pPr>
        <w:spacing w:after="50" w:before="120"/>
      </w:pPr>
      <w:r>
        <w:rPr>
          <w:b/>
          <w:bCs/>
          <w:color w:val="2E5C3E"/>
          <w:sz w:val="21"/>
          <w:szCs w:val="21"/>
          <w:u w:val="single"/>
        </w:rPr>
        <w:t xml:space="preserve">(a) Options for Vikas &amp; Balancing Fiscal Probity with Empathy</w:t>
      </w:r>
    </w:p>
    <w:p>
      <w:pPr>
        <w:pStyle w:val="ListParagraph"/>
        <w:numPr>
          <w:ilvl w:val="0"/>
          <w:numId w:val="2"/>
        </w:numPr>
        <w:spacing w:after="55"/>
        <w:jc w:val="both"/>
      </w:pPr>
      <w:r>
        <w:rPr>
          <w:sz w:val="21"/>
          <w:szCs w:val="21"/>
        </w:rPr>
        <w:t xml:space="preserve">Option 1: Rigid, biometric-only enforcement — protects against leakage but risks denying deserving beneficiaries their entitlement (possible Article 21 violation).</w:t>
      </w:r>
    </w:p>
    <w:p>
      <w:pPr>
        <w:pStyle w:val="ListParagraph"/>
        <w:numPr>
          <w:ilvl w:val="0"/>
          <w:numId w:val="2"/>
        </w:numPr>
        <w:spacing w:after="55"/>
        <w:jc w:val="both"/>
      </w:pPr>
      <w:r>
        <w:rPr>
          <w:sz w:val="21"/>
          <w:szCs w:val="21"/>
        </w:rPr>
        <w:t xml:space="preserve">Option 2: Leave verification entirely to distributor discretion — prevents wrongful exclusion but risks misuse.</w:t>
      </w:r>
    </w:p>
    <w:p>
      <w:pPr>
        <w:pStyle w:val="ListParagraph"/>
        <w:numPr>
          <w:ilvl w:val="0"/>
          <w:numId w:val="2"/>
        </w:numPr>
        <w:spacing w:after="55"/>
        <w:jc w:val="both"/>
      </w:pPr>
      <w:r>
        <w:rPr>
          <w:sz w:val="21"/>
          <w:szCs w:val="21"/>
        </w:rPr>
        <w:t xml:space="preserve">Option 3 (Recommended): Hybrid, graded approach — retain biometric authentication as default, with a clearly defined, auditable fallback (Aadhaar-linked OTP, iris scan, or supervisor-verified manual override with photographic/witness record), subject to periodic audit.</w:t>
      </w:r>
    </w:p>
    <w:p>
      <w:pPr>
        <w:pStyle w:val="ListParagraph"/>
        <w:numPr>
          <w:ilvl w:val="0"/>
          <w:numId w:val="2"/>
        </w:numPr>
        <w:spacing w:after="55"/>
        <w:jc w:val="both"/>
      </w:pPr>
      <w:r>
        <w:rPr>
          <w:sz w:val="21"/>
          <w:szCs w:val="21"/>
        </w:rPr>
        <w:t xml:space="preserve">This serves fiscal probity through audit trails and caps on overrides, while empathy ensures a technical failure never denies a constitutional entitlement.</w:t>
      </w:r>
    </w:p>
    <w:p>
      <w:pPr>
        <w:spacing w:after="50" w:before="120"/>
      </w:pPr>
      <w:r>
        <w:rPr>
          <w:b/>
          <w:bCs/>
          <w:color w:val="2E5C3E"/>
          <w:sz w:val="21"/>
          <w:szCs w:val="21"/>
          <w:u w:val="single"/>
        </w:rPr>
        <w:t xml:space="preserve">(b) Ethics of Technology as a Welfare Gatekeeper</w:t>
      </w:r>
    </w:p>
    <w:p>
      <w:pPr>
        <w:pStyle w:val="ListParagraph"/>
        <w:numPr>
          <w:ilvl w:val="0"/>
          <w:numId w:val="2"/>
        </w:numPr>
        <w:spacing w:after="55"/>
        <w:jc w:val="both"/>
      </w:pPr>
      <w:r>
        <w:rPr>
          <w:sz w:val="21"/>
          <w:szCs w:val="21"/>
        </w:rPr>
        <w:t xml:space="preserve">Technology can improve targeting and reduce leakage, but must remain a means, not an end.</w:t>
      </w:r>
    </w:p>
    <w:p>
      <w:pPr>
        <w:pStyle w:val="ListParagraph"/>
        <w:numPr>
          <w:ilvl w:val="0"/>
          <w:numId w:val="2"/>
        </w:numPr>
        <w:spacing w:after="55"/>
        <w:jc w:val="both"/>
      </w:pPr>
      <w:r>
        <w:rPr>
          <w:sz w:val="21"/>
          <w:szCs w:val="21"/>
        </w:rPr>
        <w:t xml:space="preserve">When a fraud-prevention tool excludes genuine beneficiaries, it inverts the scheme's very purpose.</w:t>
      </w:r>
    </w:p>
    <w:p>
      <w:pPr>
        <w:pStyle w:val="ListParagraph"/>
        <w:numPr>
          <w:ilvl w:val="0"/>
          <w:numId w:val="2"/>
        </w:numPr>
        <w:spacing w:after="55"/>
        <w:jc w:val="both"/>
      </w:pPr>
      <w:r>
        <w:rPr>
          <w:sz w:val="21"/>
          <w:szCs w:val="21"/>
        </w:rPr>
        <w:t xml:space="preserve">Good governance requires a human-in-the-loop safeguard, robust grievance redress, and treating gatekeeping as rebuttable, not absolute, where fundamental rights are at stake.</w:t>
      </w:r>
    </w:p>
    <w:p>
      <w:pPr>
        <w:spacing w:after="80" w:before="280"/>
      </w:pPr>
      <w:r>
        <w:rPr>
          <w:b/>
          <w:bCs/>
          <w:color w:val="9C3D1E"/>
          <w:sz w:val="22"/>
          <w:szCs w:val="22"/>
        </w:rPr>
        <w:t xml:space="preserve">Q11. In border district Rajapuram, violent ethnic conflict between the Jhara and Biru communities has fractured the social fabric and compromised the neutrality of local administration and police, with a neighbouring country able to exploit the instability. New DM Rajan must restore order, reopen the highway, and initiate peace talks.
(a) Discuss the ethical issues that need to be addressed in this case. (b) What are the options open to Rajan? Which option would ensure protection of his non-partisan image without compromising ethics?</w:t>
      </w:r>
      <w:r>
        <w:rPr>
          <w:b/>
          <w:bCs/>
          <w:color w:val="888888"/>
          <w:sz w:val="18"/>
          <w:szCs w:val="18"/>
        </w:rPr>
        <w:t xml:space="preserve">  [20 marks | ~250 words]</w:t>
      </w:r>
    </w:p>
    <w:p>
      <w:pPr>
        <w:spacing w:after="50" w:before="120"/>
      </w:pPr>
      <w:r>
        <w:rPr>
          <w:b/>
          <w:bCs/>
          <w:color w:val="2E5C3E"/>
          <w:sz w:val="21"/>
          <w:szCs w:val="21"/>
          <w:u w:val="single"/>
        </w:rPr>
        <w:t xml:space="preserve">(a) Ethical Issues to be Addressed</w:t>
      </w:r>
    </w:p>
    <w:p>
      <w:pPr>
        <w:pStyle w:val="ListParagraph"/>
        <w:numPr>
          <w:ilvl w:val="0"/>
          <w:numId w:val="2"/>
        </w:numPr>
        <w:spacing w:after="55"/>
        <w:jc w:val="both"/>
      </w:pPr>
      <w:r>
        <w:rPr>
          <w:sz w:val="21"/>
          <w:szCs w:val="21"/>
        </w:rPr>
        <w:t xml:space="preserve">Maintaining functional neutrality of administration and police amid deep communal polarisation, already compromised within the local force.</w:t>
      </w:r>
    </w:p>
    <w:p>
      <w:pPr>
        <w:pStyle w:val="ListParagraph"/>
        <w:numPr>
          <w:ilvl w:val="0"/>
          <w:numId w:val="2"/>
        </w:numPr>
        <w:spacing w:after="55"/>
        <w:jc w:val="both"/>
      </w:pPr>
      <w:r>
        <w:rPr>
          <w:sz w:val="21"/>
          <w:szCs w:val="21"/>
        </w:rPr>
        <w:t xml:space="preserve">Balancing urgent humanitarian needs (relief, medical supplies) against long-term peace-building.</w:t>
      </w:r>
    </w:p>
    <w:p>
      <w:pPr>
        <w:pStyle w:val="ListParagraph"/>
        <w:numPr>
          <w:ilvl w:val="0"/>
          <w:numId w:val="2"/>
        </w:numPr>
        <w:spacing w:after="55"/>
        <w:jc w:val="both"/>
      </w:pPr>
      <w:r>
        <w:rPr>
          <w:sz w:val="21"/>
          <w:szCs w:val="21"/>
        </w:rPr>
        <w:t xml:space="preserve">Risk of a hostile neighbouring country exploiting instability to foment insurgency.</w:t>
      </w:r>
    </w:p>
    <w:p>
      <w:pPr>
        <w:pStyle w:val="ListParagraph"/>
        <w:numPr>
          <w:ilvl w:val="0"/>
          <w:numId w:val="2"/>
        </w:numPr>
        <w:spacing w:after="55"/>
        <w:jc w:val="both"/>
      </w:pPr>
      <w:r>
        <w:rPr>
          <w:sz w:val="21"/>
          <w:szCs w:val="21"/>
        </w:rPr>
        <w:t xml:space="preserve">Using proportionate force without further alienating either community or appearing to favour one side.</w:t>
      </w:r>
    </w:p>
    <w:p>
      <w:pPr>
        <w:spacing w:after="50" w:before="120"/>
      </w:pPr>
      <w:r>
        <w:rPr>
          <w:b/>
          <w:bCs/>
          <w:color w:val="2E5C3E"/>
          <w:sz w:val="21"/>
          <w:szCs w:val="21"/>
          <w:u w:val="single"/>
        </w:rPr>
        <w:t xml:space="preserve">(b) Options for Rajan &amp; Recommended Course</w:t>
      </w:r>
    </w:p>
    <w:p>
      <w:pPr>
        <w:pStyle w:val="ListParagraph"/>
        <w:numPr>
          <w:ilvl w:val="0"/>
          <w:numId w:val="2"/>
        </w:numPr>
        <w:spacing w:after="55"/>
        <w:jc w:val="both"/>
      </w:pPr>
      <w:r>
        <w:rPr>
          <w:sz w:val="21"/>
          <w:szCs w:val="21"/>
        </w:rPr>
        <w:t xml:space="preserve">Option 1: Aggressive, security-only approach — restores order fast but risks appearing partisan/repressive.</w:t>
      </w:r>
    </w:p>
    <w:p>
      <w:pPr>
        <w:pStyle w:val="ListParagraph"/>
        <w:numPr>
          <w:ilvl w:val="0"/>
          <w:numId w:val="2"/>
        </w:numPr>
        <w:spacing w:after="55"/>
        <w:jc w:val="both"/>
      </w:pPr>
      <w:r>
        <w:rPr>
          <w:sz w:val="21"/>
          <w:szCs w:val="21"/>
        </w:rPr>
        <w:t xml:space="preserve">Option 2: Purely negotiation-first approach — may be too slow given volatility and external threat.</w:t>
      </w:r>
    </w:p>
    <w:p>
      <w:pPr>
        <w:pStyle w:val="ListParagraph"/>
        <w:numPr>
          <w:ilvl w:val="0"/>
          <w:numId w:val="2"/>
        </w:numPr>
        <w:spacing w:after="55"/>
        <w:jc w:val="both"/>
      </w:pPr>
      <w:r>
        <w:rPr>
          <w:sz w:val="21"/>
          <w:szCs w:val="21"/>
        </w:rPr>
        <w:t xml:space="preserve">Option 3 (Recommended): Calibrated, sequenced approach — reopen the highway for equal, visible humanitarian access to both communities first; request neutral CRPF units (not the compromised local police) to secure order impartially; then initiate structured peace talks on land, resource and representation grievances.</w:t>
      </w:r>
    </w:p>
    <w:p>
      <w:pPr>
        <w:spacing w:after="60" w:before="80"/>
        <w:jc w:val="both"/>
      </w:pPr>
      <w:r>
        <w:rPr>
          <w:sz w:val="21"/>
          <w:szCs w:val="21"/>
        </w:rPr>
        <w:t xml:space="preserve">This protects Rajan's non-partisan image: a neutral central force avoids any appearance of local bias, equal relief builds credibility as an honest broker, and transparent communication denies hostile actors any opening.</w:t>
      </w:r>
    </w:p>
    <w:p>
      <w:pPr>
        <w:spacing w:after="80" w:before="280"/>
      </w:pPr>
      <w:r>
        <w:rPr>
          <w:b/>
          <w:bCs/>
          <w:color w:val="9C3D1E"/>
          <w:sz w:val="22"/>
          <w:szCs w:val="22"/>
        </w:rPr>
        <w:t xml:space="preserve">Q12. Ajit, Head of the Department of Weapon Sales, must choose between fulfilling a large, loan-based order from Country A (a non-aligned developing nation with a genuine defensive need and a proposed R&amp;D partnership) or a smaller, advance-paid order from Country B (allied to a superpower, outside the NPT with undeclared nuclear weapons, and supporting guerrilla forces abroad), as production constraints allow only one.
(a) Discuss the options available to Ajit. Which option should he select and why? (b) How can Ajit balance nation's economic and strategic interests with ethical considerations?</w:t>
      </w:r>
      <w:r>
        <w:rPr>
          <w:b/>
          <w:bCs/>
          <w:color w:val="888888"/>
          <w:sz w:val="18"/>
          <w:szCs w:val="18"/>
        </w:rPr>
        <w:t xml:space="preserve">  [20 marks | ~250 words]</w:t>
      </w:r>
    </w:p>
    <w:p>
      <w:pPr>
        <w:spacing w:after="50" w:before="120"/>
      </w:pPr>
      <w:r>
        <w:rPr>
          <w:b/>
          <w:bCs/>
          <w:color w:val="2E5C3E"/>
          <w:sz w:val="21"/>
          <w:szCs w:val="21"/>
          <w:u w:val="single"/>
        </w:rPr>
        <w:t xml:space="preserve">(a) Options Available to Ajit &amp; Recommendation</w:t>
      </w:r>
    </w:p>
    <w:p>
      <w:pPr>
        <w:pStyle w:val="ListParagraph"/>
        <w:numPr>
          <w:ilvl w:val="0"/>
          <w:numId w:val="2"/>
        </w:numPr>
        <w:spacing w:after="55"/>
        <w:jc w:val="both"/>
      </w:pPr>
      <w:r>
        <w:rPr>
          <w:sz w:val="21"/>
          <w:szCs w:val="21"/>
        </w:rPr>
        <w:t xml:space="preserve">Option A: Sell to Country A — genuinely defensive, non-aligned nation; durable R&amp;D partnership; less lucrative loan-based terms.</w:t>
      </w:r>
    </w:p>
    <w:p>
      <w:pPr>
        <w:pStyle w:val="ListParagraph"/>
        <w:numPr>
          <w:ilvl w:val="0"/>
          <w:numId w:val="2"/>
        </w:numPr>
        <w:spacing w:after="55"/>
        <w:jc w:val="both"/>
      </w:pPr>
      <w:r>
        <w:rPr>
          <w:sz w:val="21"/>
          <w:szCs w:val="21"/>
        </w:rPr>
        <w:t xml:space="preserve">Option B: Sell to Country B — larger economic/diplomatic gains and advance payment, but outside NPT with undeclared nuclear weapons, supports guerrilla forces abroad, over-militarised priorities.</w:t>
      </w:r>
    </w:p>
    <w:p>
      <w:pPr>
        <w:pStyle w:val="ListParagraph"/>
        <w:numPr>
          <w:ilvl w:val="0"/>
          <w:numId w:val="2"/>
        </w:numPr>
        <w:spacing w:after="55"/>
        <w:jc w:val="both"/>
      </w:pPr>
      <w:r>
        <w:rPr>
          <w:sz w:val="21"/>
          <w:szCs w:val="21"/>
        </w:rPr>
        <w:t xml:space="preserve">Option C: Decline both and reassess policy — avoids risk but forfeits legitimate opportunity and may push Country B to another supplier.</w:t>
      </w:r>
    </w:p>
    <w:p>
      <w:pPr>
        <w:pStyle w:val="ListParagraph"/>
        <w:numPr>
          <w:ilvl w:val="0"/>
          <w:numId w:val="2"/>
        </w:numPr>
        <w:spacing w:after="55"/>
        <w:jc w:val="both"/>
      </w:pPr>
      <w:r>
        <w:rPr>
          <w:sz w:val="21"/>
          <w:szCs w:val="21"/>
        </w:rPr>
        <w:t xml:space="preserve">Recommended: Option A — aligns with ethical due diligence and long-term strategic interest; avoids complicity in destabilising conduct associated with Country B.</w:t>
      </w:r>
    </w:p>
    <w:p>
      <w:pPr>
        <w:spacing w:after="50" w:before="120"/>
      </w:pPr>
      <w:r>
        <w:rPr>
          <w:b/>
          <w:bCs/>
          <w:color w:val="2E5C3E"/>
          <w:sz w:val="21"/>
          <w:szCs w:val="21"/>
          <w:u w:val="single"/>
        </w:rPr>
        <w:t xml:space="preserve">(b) Balancing Economic &amp; Strategic Interests with Ethics</w:t>
      </w:r>
    </w:p>
    <w:p>
      <w:pPr>
        <w:pStyle w:val="ListParagraph"/>
        <w:numPr>
          <w:ilvl w:val="0"/>
          <w:numId w:val="2"/>
        </w:numPr>
        <w:spacing w:after="55"/>
        <w:jc w:val="both"/>
      </w:pPr>
      <w:r>
        <w:rPr>
          <w:sz w:val="21"/>
          <w:szCs w:val="21"/>
        </w:rPr>
        <w:t xml:space="preserve">Apply a structured due-diligence framework before any sale — buyer's human-rights record, non-proliferation commitments, end-use assurances, regional-stability implications.</w:t>
      </w:r>
    </w:p>
    <w:p>
      <w:pPr>
        <w:pStyle w:val="ListParagraph"/>
        <w:numPr>
          <w:ilvl w:val="0"/>
          <w:numId w:val="2"/>
        </w:numPr>
        <w:spacing w:after="55"/>
        <w:jc w:val="both"/>
      </w:pPr>
      <w:r>
        <w:rPr>
          <w:sz w:val="21"/>
          <w:szCs w:val="21"/>
        </w:rPr>
        <w:t xml:space="preserve">Economic and strategic benefits are legitimate but cannot override India's responsibilities as a credible, rules-abiding arms exporter.</w:t>
      </w:r>
    </w:p>
    <w:p>
      <w:pPr>
        <w:pStyle w:val="ListParagraph"/>
        <w:numPr>
          <w:ilvl w:val="0"/>
          <w:numId w:val="2"/>
        </w:numPr>
        <w:spacing w:after="55"/>
        <w:jc w:val="both"/>
      </w:pPr>
      <w:r>
        <w:rPr>
          <w:sz w:val="21"/>
          <w:szCs w:val="21"/>
        </w:rPr>
        <w:t xml:space="preserve">Short-term commercial gain must never compromise long-term credibility and regional stability — an 'enlightened national interest' approach.</w:t>
      </w:r>
    </w:p>
    <w:p>
      <w:pPr>
        <w:spacing w:before="300"/>
      </w:pPr>
      <w:r>
        <w:rPr>
          <w:i/>
          <w:iCs/>
          <w:color w:val="777777"/>
          <w:sz w:val="18"/>
          <w:szCs w:val="18"/>
        </w:rPr>
        <w:t xml:space="preserve">— End of Model Answers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2026-09-22T07:17:21.981Z</dcterms:created>
  <dcterms:modified xsi:type="dcterms:W3CDTF">2026-09-22T07:17:21.989Z</dcterms:modified>
</cp:coreProperties>
</file>

<file path=docProps/custom.xml><?xml version="1.0" encoding="utf-8"?>
<Properties xmlns="http://schemas.openxmlformats.org/officeDocument/2006/custom-properties" xmlns:vt="http://schemas.openxmlformats.org/officeDocument/2006/docPropsVTypes"/>
</file>