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UPSC Mains 2026 - GS Paper I Model Answers (Numbered Demand Format)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41" w:name="X7221f0c9264b68ade0cdf05b0a4e705cd8754b3"/>
    <w:p>
      <w:pPr>
        <w:pStyle w:val="Heading1"/>
      </w:pPr>
      <w:r>
        <w:t xml:space="preserve">UPSC Civil Services Mains 2026 — General Studies Paper I</w:t>
      </w:r>
    </w:p>
    <w:bookmarkStart w:id="40" w:name="X411d4c45a78d4d6f432f1d3bae2d05dc337bdf4"/>
    <w:p>
      <w:pPr>
        <w:pStyle w:val="Heading2"/>
      </w:pPr>
      <w:r>
        <w:t xml:space="preserve">Model Answers — Numbered by Question’s Demand (Word limits strictly followed)</w:t>
      </w:r>
    </w:p>
    <w:p>
      <w:pPr>
        <w:pStyle w:val="FirstParagraph"/>
      </w:pPr>
      <w:r>
        <w:rPr>
          <w:iCs/>
          <w:i/>
        </w:rPr>
        <w:t xml:space="preserve">GS-I, held 22 August 2026 | Q1–Q10: 10 marks each, ~150 words | Q11–Q20: 15 marks each, ~250 words</w:t>
      </w:r>
    </w:p>
    <w:p>
      <w:r>
        <w:pict>
          <v:rect style="width:0;height:1.5pt" o:hralign="center" o:hrstd="t" o:hr="t"/>
        </w:pict>
      </w:r>
    </w:p>
    <w:bookmarkStart w:id="20" w:name="X747c85acc17d851e8a179cca86f16c35e732cea"/>
    <w:p>
      <w:pPr>
        <w:pStyle w:val="Heading3"/>
      </w:pPr>
      <w:r>
        <w:t xml:space="preserve">Q1. Analyze the importance of Ashokan inscriptions for reconstructing Mauryan history. (150 words)</w:t>
      </w:r>
    </w:p>
    <w:p>
      <w:pPr>
        <w:pStyle w:val="FirstParagraph"/>
      </w:pPr>
      <w:r>
        <w:t xml:space="preserve">Ashokan inscriptions (Major/Minor Rock Edicts, Pillar Edicts, Cave Inscriptions) are the earliest deciphered epigraphic corpus and the most valuable primary source for Mauryan history, important on the following counts: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Extent of empire</w:t>
      </w:r>
      <w:r>
        <w:t xml:space="preserve">: Find-spots from Kandahar to Bengal, Kashmir to Karnataka confirm the actual territorial spread.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Ruler’s identity &amp; chronology</w:t>
      </w:r>
      <w:r>
        <w:t xml:space="preserve">: Confirm Ashoka as</w:t>
      </w:r>
      <w:r>
        <w:t xml:space="preserve"> </w:t>
      </w:r>
      <w:r>
        <w:rPr>
          <w:iCs/>
          <w:i/>
        </w:rPr>
        <w:t xml:space="preserve">Devanampiya Piyadasi</w:t>
      </w:r>
      <w:r>
        <w:t xml:space="preserve">; his conversion after the Kalinga war; regnal-year datings fix chronology.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Administrative structure</w:t>
      </w:r>
      <w:r>
        <w:t xml:space="preserve">: Reveal officer cadres — Mahamatras, Rajukas, Dhamma Mahamatras; provincial centres like Taxila, Ujjain, Suvarnagiri.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State policy &amp; welfare</w:t>
      </w:r>
      <w:r>
        <w:t xml:space="preserve">: Document the Dhamma policy and welfare measures (hospitals, roadside wells, shade trees).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External relations</w:t>
      </w:r>
      <w:r>
        <w:t xml:space="preserve">: Diplomatic contacts with Hellenistic rulers, corroborating Greek accounts.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Reliability as a source</w:t>
      </w:r>
      <w:r>
        <w:t xml:space="preserve">: Contemporary, unmediated, and geographically dispersed — overcoming the unreliability of later literary sources like the Puranas.</w:t>
      </w:r>
    </w:p>
    <w:p>
      <w:pPr>
        <w:pStyle w:val="FirstParagraph"/>
      </w:pPr>
      <w:r>
        <w:t xml:space="preserve">Taken together, these make the inscriptions indispensable for an authentic reconstruction of Mauryan history.</w:t>
      </w:r>
    </w:p>
    <w:p>
      <w:r>
        <w:pict>
          <v:rect style="width:0;height:1.5pt" o:hralign="center" o:hrstd="t" o:hr="t"/>
        </w:pict>
      </w:r>
    </w:p>
    <w:bookmarkEnd w:id="20"/>
    <w:bookmarkStart w:id="21" w:name="Xcc588103396b0191c6d36d77a280a0ce6b2290d"/>
    <w:p>
      <w:pPr>
        <w:pStyle w:val="Heading3"/>
      </w:pPr>
      <w:r>
        <w:t xml:space="preserve">Q2. Discuss the impact of Macaulay’s Minute on colonial administration and education in India. (150 words)</w:t>
      </w:r>
    </w:p>
    <w:p>
      <w:pPr>
        <w:pStyle w:val="FirstParagraph"/>
      </w:pPr>
      <w:r>
        <w:t xml:space="preserve">Macaulay’s Minute on Education (1835) shifted colonial policy from Orientalism to Anglicism. Its impact can be seen on two fronts:</w:t>
      </w:r>
    </w:p>
    <w:p>
      <w:pPr>
        <w:pStyle w:val="BodyText"/>
      </w:pPr>
      <w:r>
        <w:rPr>
          <w:bCs/>
          <w:b/>
        </w:rPr>
        <w:t xml:space="preserve">1. Impact on Education</w:t>
      </w:r>
      <w:r>
        <w:t xml:space="preserve"> </w:t>
      </w:r>
      <w:r>
        <w:t xml:space="preserve">1. Made English the medium of instruction in higher education; downgraded state patronage to Sanskrit and Persian learning.</w:t>
      </w:r>
      <w:r>
        <w:t xml:space="preserve"> </w:t>
      </w:r>
      <w:r>
        <w:t xml:space="preserve">2. Rested on the</w:t>
      </w:r>
      <w:r>
        <w:t xml:space="preserve"> </w:t>
      </w:r>
      <w:r>
        <w:t xml:space="preserve">“</w:t>
      </w:r>
      <w:r>
        <w:t xml:space="preserve">downward filtration theory</w:t>
      </w:r>
      <w:r>
        <w:t xml:space="preserve">”</w:t>
      </w:r>
      <w:r>
        <w:t xml:space="preserve"> </w:t>
      </w:r>
      <w:r>
        <w:t xml:space="preserve">— a small English-educated elite expected to transmit knowledge downward, widening the elite-mass educational gap.</w:t>
      </w:r>
      <w:r>
        <w:t xml:space="preserve"> </w:t>
      </w:r>
      <w:r>
        <w:t xml:space="preserve">3. Caused cultural alienation and decline of vernacular and scientific-technical education.</w:t>
      </w:r>
    </w:p>
    <w:p>
      <w:pPr>
        <w:pStyle w:val="BodyText"/>
      </w:pPr>
      <w:r>
        <w:rPr>
          <w:bCs/>
          <w:b/>
        </w:rPr>
        <w:t xml:space="preserve">2. Impact on Administration</w:t>
      </w:r>
      <w:r>
        <w:t xml:space="preserve"> </w:t>
      </w:r>
      <w:r>
        <w:t xml:space="preserve">1. Produced English-knowing Indians for subordinate clerical/administrative roles, reducing governance costs while ensuring loyalty.</w:t>
      </w:r>
      <w:r>
        <w:t xml:space="preserve"> </w:t>
      </w:r>
      <w:r>
        <w:t xml:space="preserve">2. Unintended consequence: this English-educated class later led nationalism, print journalism, and reform movements.</w:t>
      </w:r>
    </w:p>
    <w:p>
      <w:pPr>
        <w:pStyle w:val="BodyText"/>
      </w:pPr>
      <w:r>
        <w:t xml:space="preserve">Overall, the Minute shaped the modern Indian intelligentsia — effects still debated today.</w:t>
      </w:r>
    </w:p>
    <w:p>
      <w:r>
        <w:pict>
          <v:rect style="width:0;height:1.5pt" o:hralign="center" o:hrstd="t" o:hr="t"/>
        </w:pict>
      </w:r>
    </w:p>
    <w:bookmarkEnd w:id="21"/>
    <w:bookmarkStart w:id="22" w:name="X9eb38ce933a3754b36d374e78a08ec6b3096156"/>
    <w:p>
      <w:pPr>
        <w:pStyle w:val="Heading3"/>
      </w:pPr>
      <w:r>
        <w:t xml:space="preserve">Q3. The significance of the Gandhian movements lay in the masses they mobilized. Elucidate. (150 words)</w:t>
      </w:r>
    </w:p>
    <w:p>
      <w:pPr>
        <w:pStyle w:val="FirstParagraph"/>
      </w:pPr>
      <w:r>
        <w:t xml:space="preserve">Gandhian movements shifted the freedom struggle from elite constitutionalism to genuine mass politics. This is evident across three movements: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Non-Cooperation Movement (1920–22)</w:t>
      </w:r>
      <w:r>
        <w:t xml:space="preserve">: Drew peasants, workers, students, women via boycott of schools/courts/foreign cloth; khadi and charkha served as relatable symbols.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Civil Disobedience Movement (1930–34)</w:t>
      </w:r>
      <w:r>
        <w:t xml:space="preserve">: The Salt Satyagraha mobilized coastal peasants and tribals; women’s participation reached unprecedented levels, breaking gender barriers.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Quit India Movement (1942)</w:t>
      </w:r>
      <w:r>
        <w:t xml:space="preserve">: Spontaneous mass upsurge across towns and villages despite the arrest of leadership, showing how deeply nationalist consciousness had penetrated society.</w:t>
      </w:r>
    </w:p>
    <w:p>
      <w:pPr>
        <w:pStyle w:val="FirstParagraph"/>
      </w:pPr>
      <w:r>
        <w:t xml:space="preserve">Common to all three was Gandhi’s method — satyagraha, vernacular idiom, identification with the poorest — which gave the movements a cross-class, cross-community character, forging a genuine national identity absent in earlier elite politics.</w:t>
      </w:r>
    </w:p>
    <w:p>
      <w:r>
        <w:pict>
          <v:rect style="width:0;height:1.5pt" o:hralign="center" o:hrstd="t" o:hr="t"/>
        </w:pict>
      </w:r>
    </w:p>
    <w:bookmarkEnd w:id="22"/>
    <w:bookmarkStart w:id="23" w:name="Xfb91b58e27505cdc85f74fe7ca9d1946cc68581"/>
    <w:p>
      <w:pPr>
        <w:pStyle w:val="Heading3"/>
      </w:pPr>
      <w:r>
        <w:t xml:space="preserve">Q4. What is the Fujiwhara effect? Explain its impact on the movement and intensity of tropical cyclones. (150 words)</w:t>
      </w:r>
    </w:p>
    <w:p>
      <w:pPr>
        <w:pStyle w:val="FirstParagraph"/>
      </w:pPr>
      <w:r>
        <w:rPr>
          <w:bCs/>
          <w:b/>
        </w:rPr>
        <w:t xml:space="preserve">1. What is the Fujiwhara effect</w:t>
      </w:r>
      <w:r>
        <w:t xml:space="preserve"> </w:t>
      </w:r>
      <w:r>
        <w:t xml:space="preserve">Named after Sakuhei Fujiwhara, it describes two nearby cyclonic vortices (within roughly 1,400 km of each other) beginning to rotate around a common centre due to mutual cyclonic circulation, rather than moving independently.</w:t>
      </w:r>
    </w:p>
    <w:p>
      <w:pPr>
        <w:pStyle w:val="BodyText"/>
      </w:pPr>
      <w:r>
        <w:rPr>
          <w:bCs/>
          <w:b/>
        </w:rPr>
        <w:t xml:space="preserve">2. Impact on movement</w:t>
      </w:r>
      <w:r>
        <w:t xml:space="preserve"> </w:t>
      </w:r>
      <w:r>
        <w:t xml:space="preserve">1. Causes erratic, looping, or sudden directional changes in track.</w:t>
      </w:r>
      <w:r>
        <w:t xml:space="preserve"> </w:t>
      </w:r>
      <w:r>
        <w:t xml:space="preserve">2. Makes trajectory forecasting significantly harder for meteorological agencies.</w:t>
      </w:r>
      <w:r>
        <w:t xml:space="preserve"> </w:t>
      </w:r>
      <w:r>
        <w:t xml:space="preserve">3. Outcomes vary — the weaker system may be absorbed/torn apart, the two may merge, or they may orbit and separate.</w:t>
      </w:r>
    </w:p>
    <w:p>
      <w:pPr>
        <w:pStyle w:val="BodyText"/>
      </w:pPr>
      <w:r>
        <w:rPr>
          <w:bCs/>
          <w:b/>
        </w:rPr>
        <w:t xml:space="preserve">3. Impact on intensity</w:t>
      </w:r>
      <w:r>
        <w:t xml:space="preserve"> </w:t>
      </w:r>
      <w:r>
        <w:t xml:space="preserve">1. Interaction usually weakens both systems by disrupting moisture and heat supply.</w:t>
      </w:r>
      <w:r>
        <w:t xml:space="preserve"> </w:t>
      </w:r>
      <w:r>
        <w:t xml:space="preserve">2. Merger can occasionally produce a larger, reorganized storm.</w:t>
      </w:r>
    </w:p>
    <w:p>
      <w:pPr>
        <w:pStyle w:val="BodyText"/>
      </w:pPr>
      <w:r>
        <w:t xml:space="preserve">This makes the effect significant for cyclone forecasting in basins like the North Indian Ocean and Western Pacific.</w:t>
      </w:r>
    </w:p>
    <w:p>
      <w:r>
        <w:pict>
          <v:rect style="width:0;height:1.5pt" o:hralign="center" o:hrstd="t" o:hr="t"/>
        </w:pict>
      </w:r>
    </w:p>
    <w:bookmarkEnd w:id="23"/>
    <w:bookmarkStart w:id="24" w:name="X240135dbc54a2ca0f84d9dc054c96f3cb4ff1ef"/>
    <w:p>
      <w:pPr>
        <w:pStyle w:val="Heading3"/>
      </w:pPr>
      <w:r>
        <w:t xml:space="preserve">Q5.</w:t>
      </w:r>
      <w:r>
        <w:t xml:space="preserve"> </w:t>
      </w:r>
      <w:r>
        <w:t xml:space="preserve">“</w:t>
      </w:r>
      <w:r>
        <w:t xml:space="preserve">Tundra regions are ecologically fragile but economically important.</w:t>
      </w:r>
      <w:r>
        <w:t xml:space="preserve">”</w:t>
      </w:r>
      <w:r>
        <w:t xml:space="preserve"> </w:t>
      </w:r>
      <w:r>
        <w:t xml:space="preserve">Examine this statement critically. (150 words)</w:t>
      </w:r>
    </w:p>
    <w:p>
      <w:pPr>
        <w:pStyle w:val="FirstParagraph"/>
      </w:pPr>
      <w:r>
        <w:rPr>
          <w:bCs/>
          <w:b/>
        </w:rPr>
        <w:t xml:space="preserve">1. Ecological fragility</w:t>
      </w:r>
      <w:r>
        <w:t xml:space="preserve"> </w:t>
      </w:r>
      <w:r>
        <w:t xml:space="preserve">1. Permafrost, extreme cold, and short growing season support low biodiversity and simple food chains.</w:t>
      </w:r>
      <w:r>
        <w:t xml:space="preserve"> </w:t>
      </w:r>
      <w:r>
        <w:t xml:space="preserve">2. Slow decomposition means disturbances take decades to heal.</w:t>
      </w:r>
      <w:r>
        <w:t xml:space="preserve"> </w:t>
      </w:r>
      <w:r>
        <w:t xml:space="preserve">3. Permafrost thaw releases methane/carbon, accelerating warming and destabilizing the ground itself.</w:t>
      </w:r>
    </w:p>
    <w:p>
      <w:pPr>
        <w:pStyle w:val="BodyText"/>
      </w:pPr>
      <w:r>
        <w:rPr>
          <w:bCs/>
          <w:b/>
        </w:rPr>
        <w:t xml:space="preserve">2. Economic importance</w:t>
      </w:r>
      <w:r>
        <w:t xml:space="preserve"> </w:t>
      </w:r>
      <w:r>
        <w:t xml:space="preserve">1. Vast hydrocarbon reserves (Arctic Russia, Alaska, Canada) and minerals.</w:t>
      </w:r>
      <w:r>
        <w:t xml:space="preserve"> </w:t>
      </w:r>
      <w:r>
        <w:t xml:space="preserve">2. New shipping routes opening as sea ice retreats.</w:t>
      </w:r>
      <w:r>
        <w:t xml:space="preserve"> </w:t>
      </w:r>
      <w:r>
        <w:t xml:space="preserve">3. Fisheries and growing tourism; indigenous reliance on reindeer herding, hunting, and fishing.</w:t>
      </w:r>
    </w:p>
    <w:p>
      <w:pPr>
        <w:pStyle w:val="BodyText"/>
      </w:pPr>
      <w:r>
        <w:rPr>
          <w:bCs/>
          <w:b/>
        </w:rPr>
        <w:t xml:space="preserve">3. The critical tension</w:t>
      </w:r>
      <w:r>
        <w:t xml:space="preserve"> </w:t>
      </w:r>
      <w:r>
        <w:t xml:space="preserve">Resource extraction and infrastructure development directly threaten the fragile permafrost and biodiversity base that makes the region economically viable in the first place — calling for cautious, sustainable, indigenous-inclusive management.</w:t>
      </w:r>
    </w:p>
    <w:p>
      <w:r>
        <w:pict>
          <v:rect style="width:0;height:1.5pt" o:hralign="center" o:hrstd="t" o:hr="t"/>
        </w:pict>
      </w:r>
    </w:p>
    <w:bookmarkEnd w:id="24"/>
    <w:bookmarkStart w:id="25" w:name="X2fc4f65ecc297c05e89c061602b773001d84766"/>
    <w:p>
      <w:pPr>
        <w:pStyle w:val="Heading3"/>
      </w:pPr>
      <w:r>
        <w:t xml:space="preserve">Q6. Discuss the role of aeolian processes in desertification and land degradation. (150 words)</w:t>
      </w:r>
    </w:p>
    <w:p>
      <w:pPr>
        <w:pStyle w:val="FirstParagraph"/>
      </w:pPr>
      <w:r>
        <w:t xml:space="preserve">Aeolian (wind) processes are central drivers of desertification through three mechanisms: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Deflation</w:t>
      </w:r>
      <w:r>
        <w:t xml:space="preserve">: Removes fine topsoil, leaving coarse infertile desert pavements and reducing agricultural productivity.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Abrasion</w:t>
      </w:r>
      <w:r>
        <w:t xml:space="preserve">: Wind-carried sand erodes rock and exposed soil surfaces, accelerating degradation.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Deposition</w:t>
      </w:r>
      <w:r>
        <w:t xml:space="preserve">: Migrating sand dunes (barchans, seifs) encroach on farmland and settlements — e.g., along the margins of the Thar Desert and the Sahel.</w:t>
      </w:r>
    </w:p>
    <w:p>
      <w:pPr>
        <w:pStyle w:val="FirstParagraph"/>
      </w:pPr>
      <w:r>
        <w:t xml:space="preserve">These are compounded by anthropogenic factors — overgrazing, deforestation, unsustainable irrigation — which intensify soil degradation and expand desert margins, illustrated by the Thar’s eastward expansion in India.</w:t>
      </w:r>
    </w:p>
    <w:p>
      <w:pPr>
        <w:pStyle w:val="BodyText"/>
      </w:pPr>
      <w:r>
        <w:t xml:space="preserve">Thus, wind erosion is both a natural geomorphic process and a critical accelerator of human-induced desertification, needing shelterbelts and afforestation as mitigation.</w:t>
      </w:r>
    </w:p>
    <w:p>
      <w:r>
        <w:pict>
          <v:rect style="width:0;height:1.5pt" o:hralign="center" o:hrstd="t" o:hr="t"/>
        </w:pict>
      </w:r>
    </w:p>
    <w:bookmarkEnd w:id="25"/>
    <w:bookmarkStart w:id="26" w:name="X6eddb62608e2b92c2c604110738f42a79772db2"/>
    <w:p>
      <w:pPr>
        <w:pStyle w:val="Heading3"/>
      </w:pPr>
      <w:r>
        <w:t xml:space="preserve">Q7.</w:t>
      </w:r>
      <w:r>
        <w:t xml:space="preserve"> </w:t>
      </w:r>
      <w:r>
        <w:t xml:space="preserve">“</w:t>
      </w:r>
      <w:r>
        <w:t xml:space="preserve">Water resources are both an asset and a source of conflict in South Asia.</w:t>
      </w:r>
      <w:r>
        <w:t xml:space="preserve">”</w:t>
      </w:r>
      <w:r>
        <w:t xml:space="preserve"> </w:t>
      </w:r>
      <w:r>
        <w:t xml:space="preserve">Examine this statement giving examples. (150 words)</w:t>
      </w:r>
    </w:p>
    <w:p>
      <w:pPr>
        <w:pStyle w:val="FirstParagraph"/>
      </w:pPr>
      <w:r>
        <w:rPr>
          <w:bCs/>
          <w:b/>
        </w:rPr>
        <w:t xml:space="preserve">1. Water as an asset</w:t>
      </w:r>
      <w:r>
        <w:t xml:space="preserve"> </w:t>
      </w:r>
      <w:r>
        <w:t xml:space="preserve">Transboundary rivers (Indus, Ganga, Brahmaputra) sustain irrigation, drinking water, hydropower, and fisheries for over a billion people, underpinning agriculture-based economies of India, Pakistan, Bangladesh, and Nepal.</w:t>
      </w:r>
    </w:p>
    <w:p>
      <w:pPr>
        <w:pStyle w:val="BodyText"/>
      </w:pPr>
      <w:r>
        <w:rPr>
          <w:bCs/>
          <w:b/>
        </w:rPr>
        <w:t xml:space="preserve">2. Water as a source of conflict</w:t>
      </w:r>
      <w:r>
        <w:t xml:space="preserve"> </w:t>
      </w:r>
      <w:r>
        <w:t xml:space="preserve">1.</w:t>
      </w:r>
      <w:r>
        <w:t xml:space="preserve"> </w:t>
      </w:r>
      <w:r>
        <w:rPr>
          <w:bCs/>
          <w:b/>
        </w:rPr>
        <w:t xml:space="preserve">Indus Waters Treaty (1960)</w:t>
      </w:r>
      <w:r>
        <w:t xml:space="preserve">: India-Pakistan treaty repeatedly strained over dams like Kishanganga and Baglihar.</w:t>
      </w:r>
      <w:r>
        <w:t xml:space="preserve"> </w:t>
      </w:r>
      <w:r>
        <w:t xml:space="preserve">2.</w:t>
      </w:r>
      <w:r>
        <w:t xml:space="preserve"> </w:t>
      </w:r>
      <w:r>
        <w:rPr>
          <w:bCs/>
          <w:b/>
        </w:rPr>
        <w:t xml:space="preserve">Ganga Water Treaty (1996)</w:t>
      </w:r>
      <w:r>
        <w:t xml:space="preserve">: India-Bangladesh dispute over dry-season flow adequacy.</w:t>
      </w:r>
      <w:r>
        <w:t xml:space="preserve"> </w:t>
      </w:r>
      <w:r>
        <w:t xml:space="preserve">3.</w:t>
      </w:r>
      <w:r>
        <w:t xml:space="preserve"> </w:t>
      </w:r>
      <w:r>
        <w:rPr>
          <w:bCs/>
          <w:b/>
        </w:rPr>
        <w:t xml:space="preserve">Teesta River</w:t>
      </w:r>
      <w:r>
        <w:t xml:space="preserve">: Unresolved India-Bangladesh issue, complicated by West Bengal’s domestic concerns.</w:t>
      </w:r>
      <w:r>
        <w:t xml:space="preserve"> </w:t>
      </w:r>
      <w:r>
        <w:t xml:space="preserve">4.</w:t>
      </w:r>
      <w:r>
        <w:t xml:space="preserve"> </w:t>
      </w:r>
      <w:r>
        <w:rPr>
          <w:bCs/>
          <w:b/>
        </w:rPr>
        <w:t xml:space="preserve">Brahmaputra (Yarlung Tsangpo)</w:t>
      </w:r>
      <w:r>
        <w:t xml:space="preserve">: Upstream Chinese dam-building raises India’s flow and flood-risk concerns.</w:t>
      </w:r>
    </w:p>
    <w:p>
      <w:pPr>
        <w:pStyle w:val="BodyText"/>
      </w:pPr>
      <w:r>
        <w:t xml:space="preserve">Water thus functions simultaneously as a life-sustaining common resource and a geopolitical flashpoint, demanding cooperative basin-management frameworks over zero-sum bilateralism.</w:t>
      </w:r>
    </w:p>
    <w:p>
      <w:r>
        <w:pict>
          <v:rect style="width:0;height:1.5pt" o:hralign="center" o:hrstd="t" o:hr="t"/>
        </w:pict>
      </w:r>
    </w:p>
    <w:bookmarkEnd w:id="26"/>
    <w:bookmarkStart w:id="27" w:name="X9da3fe96e438e653e6b7f93d954fe6c2788516e"/>
    <w:p>
      <w:pPr>
        <w:pStyle w:val="Heading3"/>
      </w:pPr>
      <w:r>
        <w:t xml:space="preserve">Q8. Unity in diversity remains the defining feature of Indian society despite the challenges from communalism and regionalism. Comment. (150 words)</w:t>
      </w:r>
    </w:p>
    <w:p>
      <w:pPr>
        <w:pStyle w:val="FirstParagraph"/>
      </w:pPr>
      <w:r>
        <w:rPr>
          <w:bCs/>
          <w:b/>
        </w:rPr>
        <w:t xml:space="preserve">1. Sources of unity</w:t>
      </w:r>
      <w:r>
        <w:t xml:space="preserve"> </w:t>
      </w:r>
      <w:r>
        <w:t xml:space="preserve">Shared constitutional values, syncretic festivals, pan-Indian pilgrimage traditions, and a common freedom-struggle consciousness bind India’s diversity.</w:t>
      </w:r>
    </w:p>
    <w:p>
      <w:pPr>
        <w:pStyle w:val="BodyText"/>
      </w:pPr>
      <w:r>
        <w:rPr>
          <w:bCs/>
          <w:b/>
        </w:rPr>
        <w:t xml:space="preserve">2. Challenge from communalism</w:t>
      </w:r>
      <w:r>
        <w:t xml:space="preserve"> </w:t>
      </w:r>
      <w:r>
        <w:t xml:space="preserve">Ruptures the fabric through Partition violence and recurring communal riots, driven by political mobilization along religious lines.</w:t>
      </w:r>
    </w:p>
    <w:p>
      <w:pPr>
        <w:pStyle w:val="BodyText"/>
      </w:pPr>
      <w:r>
        <w:rPr>
          <w:bCs/>
          <w:b/>
        </w:rPr>
        <w:t xml:space="preserve">3. Challenge from regionalism</w:t>
      </w:r>
      <w:r>
        <w:t xml:space="preserve"> </w:t>
      </w:r>
      <w:r>
        <w:t xml:space="preserve">Manifests through sons-of-soil movements, linguistic assertions, statehood demands, and occasional secessionist tendencies (historically Punjab, Nagaland, Northeast).</w:t>
      </w:r>
    </w:p>
    <w:p>
      <w:pPr>
        <w:pStyle w:val="BodyText"/>
      </w:pPr>
      <w:r>
        <w:rPr>
          <w:bCs/>
          <w:b/>
        </w:rPr>
        <w:t xml:space="preserve">4. Institutional response</w:t>
      </w:r>
      <w:r>
        <w:t xml:space="preserve"> </w:t>
      </w:r>
      <w:r>
        <w:t xml:space="preserve">Federal structure, linguistic reorganization of states, secular constitutional framework, and democratic accommodation have channelled these tensions institutionally rather than fracturing the polity.</w:t>
      </w:r>
    </w:p>
    <w:p>
      <w:pPr>
        <w:pStyle w:val="BodyText"/>
      </w:pPr>
      <w:r>
        <w:t xml:space="preserve">Unity in diversity thus remains a resilient, continuously negotiated reality rather than a settled given.</w:t>
      </w:r>
    </w:p>
    <w:p>
      <w:r>
        <w:pict>
          <v:rect style="width:0;height:1.5pt" o:hralign="center" o:hrstd="t" o:hr="t"/>
        </w:pict>
      </w:r>
    </w:p>
    <w:bookmarkEnd w:id="27"/>
    <w:bookmarkStart w:id="28" w:name="X2269fb2b7bf133c94cbe6266550e9c11855b0fb"/>
    <w:p>
      <w:pPr>
        <w:pStyle w:val="Heading3"/>
      </w:pPr>
      <w:r>
        <w:t xml:space="preserve">Q9. How do you understand disability? Substantiate the need for inclusive policy framework in India in this regard. (150 words)</w:t>
      </w:r>
    </w:p>
    <w:p>
      <w:pPr>
        <w:pStyle w:val="FirstParagraph"/>
      </w:pPr>
      <w:r>
        <w:rPr>
          <w:bCs/>
          <w:b/>
        </w:rPr>
        <w:t xml:space="preserve">1. Understanding disability</w:t>
      </w:r>
      <w:r>
        <w:t xml:space="preserve"> </w:t>
      </w:r>
      <w:r>
        <w:t xml:space="preserve">Not through the medical model (individual impairment needing cure), but the social model — locating disability in society’s failure to accommodate diverse physical, sensory, intellectual, or psychosocial conditions. The RPWD Act, 2016 embraces this rights-based approach, recognizing 21 categories of disability.</w:t>
      </w:r>
    </w:p>
    <w:p>
      <w:pPr>
        <w:pStyle w:val="BodyText"/>
      </w:pPr>
      <w:r>
        <w:rPr>
          <w:bCs/>
          <w:b/>
        </w:rPr>
        <w:t xml:space="preserve">2. Need for an inclusive policy framework</w:t>
      </w:r>
      <w:r>
        <w:t xml:space="preserve"> </w:t>
      </w:r>
      <w:r>
        <w:t xml:space="preserve">1. Persons with disabilities face inaccessible infrastructure, exclusion from mainstream education, limited employment, and social stigma.</w:t>
      </w:r>
      <w:r>
        <w:t xml:space="preserve"> </w:t>
      </w:r>
      <w:r>
        <w:t xml:space="preserve">2. Genuine inclusion requires universal accessibility (Accessible India Campaign), reservation in education/employment, assistive technology, and attitudinal change.</w:t>
      </w:r>
    </w:p>
    <w:p>
      <w:pPr>
        <w:pStyle w:val="BodyText"/>
      </w:pPr>
      <w:r>
        <w:t xml:space="preserve">Without such mainstreaming, disability continues to translate into poverty and marginalization, undermining the constitutional promise of equality and dignity.</w:t>
      </w:r>
    </w:p>
    <w:p>
      <w:r>
        <w:pict>
          <v:rect style="width:0;height:1.5pt" o:hralign="center" o:hrstd="t" o:hr="t"/>
        </w:pict>
      </w:r>
    </w:p>
    <w:bookmarkEnd w:id="28"/>
    <w:bookmarkStart w:id="29" w:name="X190b7b78f46df0a248fbf1430b11900c2a52ed3"/>
    <w:p>
      <w:pPr>
        <w:pStyle w:val="Heading3"/>
      </w:pPr>
      <w:r>
        <w:t xml:space="preserve">Q10. Do you think digital technology promotes social empowerment? Explain with examples. (150 words)</w:t>
      </w:r>
    </w:p>
    <w:p>
      <w:pPr>
        <w:pStyle w:val="FirstParagraph"/>
      </w:pPr>
      <w:r>
        <w:rPr>
          <w:bCs/>
          <w:b/>
        </w:rPr>
        <w:t xml:space="preserve">1. Evidence of empowerment</w:t>
      </w:r>
      <w:r>
        <w:t xml:space="preserve"> </w:t>
      </w:r>
      <w:r>
        <w:t xml:space="preserve">1.</w:t>
      </w:r>
      <w:r>
        <w:t xml:space="preserve"> </w:t>
      </w:r>
      <w:r>
        <w:rPr>
          <w:bCs/>
          <w:b/>
        </w:rPr>
        <w:t xml:space="preserve">Financial/administrative</w:t>
      </w:r>
      <w:r>
        <w:t xml:space="preserve">: Aadhaar-linked DBT reduces leakages; UPI extends financial inclusion to rural/informal sectors; DigiLocker and CSCs reduce bureaucratic gatekeeping.</w:t>
      </w:r>
      <w:r>
        <w:t xml:space="preserve"> </w:t>
      </w:r>
      <w:r>
        <w:t xml:space="preserve">2.</w:t>
      </w:r>
      <w:r>
        <w:t xml:space="preserve"> </w:t>
      </w:r>
      <w:r>
        <w:rPr>
          <w:bCs/>
          <w:b/>
        </w:rPr>
        <w:t xml:space="preserve">Voice and access</w:t>
      </w:r>
      <w:r>
        <w:t xml:space="preserve">: SHGs accessing markets online; e-learning (DIKSHA, SWAYAM) for remote students; social media amplifying marginalized voices; telemedicine expanding rural healthcare.</w:t>
      </w:r>
    </w:p>
    <w:p>
      <w:pPr>
        <w:pStyle w:val="BodyText"/>
      </w:pPr>
      <w:r>
        <w:rPr>
          <w:bCs/>
          <w:b/>
        </w:rPr>
        <w:t xml:space="preserve">2. Limitations</w:t>
      </w:r>
      <w:r>
        <w:t xml:space="preserve"> </w:t>
      </w:r>
      <w:r>
        <w:t xml:space="preserve">Digital divide across gender, class, and rural-urban lines; digital illiteracy; data privacy concerns limit universal benefit.</w:t>
      </w:r>
    </w:p>
    <w:p>
      <w:pPr>
        <w:pStyle w:val="BodyText"/>
      </w:pPr>
      <w:r>
        <w:rPr>
          <w:bCs/>
          <w:b/>
        </w:rPr>
        <w:t xml:space="preserve">Conclusion</w:t>
      </w:r>
      <w:r>
        <w:t xml:space="preserve">: Genuine empowerment requires pairing technology with affordability and literacy — else it risks reproducing existing social inequalities rather than resolving them.</w:t>
      </w:r>
    </w:p>
    <w:p>
      <w:r>
        <w:pict>
          <v:rect style="width:0;height:1.5pt" o:hralign="center" o:hrstd="t" o:hr="t"/>
        </w:pict>
      </w:r>
    </w:p>
    <w:bookmarkEnd w:id="29"/>
    <w:bookmarkStart w:id="30" w:name="X5945809ff8d54ddcf94334973cdf4a0fa19115c"/>
    <w:p>
      <w:pPr>
        <w:pStyle w:val="Heading3"/>
      </w:pPr>
      <w:r>
        <w:t xml:space="preserve">Q11. Vijayanagara architecture exemplifies the amalgamation of past traditions with contemporary practices. Elucidate with examples. (250 words)</w:t>
      </w:r>
    </w:p>
    <w:p>
      <w:pPr>
        <w:pStyle w:val="FirstParagraph"/>
      </w:pPr>
      <w:r>
        <w:t xml:space="preserve">Vijayanagara architecture (14th–16th centuries), centred at Hampi, can be understood through three distinct strands:</w:t>
      </w:r>
    </w:p>
    <w:p>
      <w:pPr>
        <w:pStyle w:val="BodyText"/>
      </w:pPr>
      <w:r>
        <w:rPr>
          <w:bCs/>
          <w:b/>
        </w:rPr>
        <w:t xml:space="preserve">1. Continuity from past traditions (Dravidian)</w:t>
      </w:r>
      <w:r>
        <w:t xml:space="preserve"> </w:t>
      </w:r>
      <w:r>
        <w:t xml:space="preserve">1. Towering, ornately sculpted</w:t>
      </w:r>
      <w:r>
        <w:t xml:space="preserve"> </w:t>
      </w:r>
      <w:r>
        <w:rPr>
          <w:iCs/>
          <w:i/>
        </w:rPr>
        <w:t xml:space="preserve">gopurams</w:t>
      </w:r>
      <w:r>
        <w:t xml:space="preserve">; pillared</w:t>
      </w:r>
      <w:r>
        <w:t xml:space="preserve"> </w:t>
      </w:r>
      <w:r>
        <w:rPr>
          <w:iCs/>
          <w:i/>
        </w:rPr>
        <w:t xml:space="preserve">mandapas</w:t>
      </w:r>
      <w:r>
        <w:t xml:space="preserve">; stepped</w:t>
      </w:r>
      <w:r>
        <w:t xml:space="preserve"> </w:t>
      </w:r>
      <w:r>
        <w:rPr>
          <w:iCs/>
          <w:i/>
        </w:rPr>
        <w:t xml:space="preserve">vimanas</w:t>
      </w:r>
      <w:r>
        <w:t xml:space="preserve"> </w:t>
      </w:r>
      <w:r>
        <w:t xml:space="preserve">— seen in the Virupaksha and Vitthala temples.</w:t>
      </w:r>
      <w:r>
        <w:t xml:space="preserve"> </w:t>
      </w:r>
      <w:r>
        <w:t xml:space="preserve">2. Revived the temple as an urban-economic centre — tanks, chariot streets, bazaars — echoing Chola/Hoysala precedents at a grander scale.</w:t>
      </w:r>
    </w:p>
    <w:p>
      <w:pPr>
        <w:pStyle w:val="BodyText"/>
      </w:pPr>
      <w:r>
        <w:rPr>
          <w:bCs/>
          <w:b/>
        </w:rPr>
        <w:t xml:space="preserve">2. Contemporary Indo-Islamic influence (secular architecture)</w:t>
      </w:r>
      <w:r>
        <w:t xml:space="preserve"> </w:t>
      </w:r>
      <w:r>
        <w:t xml:space="preserve">1.</w:t>
      </w:r>
      <w:r>
        <w:t xml:space="preserve"> </w:t>
      </w:r>
      <w:r>
        <w:rPr>
          <w:bCs/>
          <w:b/>
        </w:rPr>
        <w:t xml:space="preserve">Lotus Mahal</w:t>
      </w:r>
      <w:r>
        <w:t xml:space="preserve">: Cusped arches, stucco ornamentation, pyramidal Islamic-style roof.</w:t>
      </w:r>
      <w:r>
        <w:t xml:space="preserve"> </w:t>
      </w:r>
      <w:r>
        <w:t xml:space="preserve">2.</w:t>
      </w:r>
      <w:r>
        <w:t xml:space="preserve"> </w:t>
      </w:r>
      <w:r>
        <w:rPr>
          <w:bCs/>
          <w:b/>
        </w:rPr>
        <w:t xml:space="preserve">Elephant Stables</w:t>
      </w:r>
      <w:r>
        <w:t xml:space="preserve">: Domed chambers reminiscent of Bahmani architecture.</w:t>
      </w:r>
      <w:r>
        <w:t xml:space="preserve"> </w:t>
      </w:r>
      <w:r>
        <w:t xml:space="preserve">3.</w:t>
      </w:r>
      <w:r>
        <w:t xml:space="preserve"> </w:t>
      </w:r>
      <w:r>
        <w:rPr>
          <w:bCs/>
          <w:b/>
        </w:rPr>
        <w:t xml:space="preserve">Queen’s Bath</w:t>
      </w:r>
      <w:r>
        <w:t xml:space="preserve">: Arched corridors combined with indigenous decorative motifs.</w:t>
      </w:r>
    </w:p>
    <w:p>
      <w:pPr>
        <w:pStyle w:val="BodyText"/>
      </w:pPr>
      <w:r>
        <w:rPr>
          <w:bCs/>
          <w:b/>
        </w:rPr>
        <w:t xml:space="preserve">3. Original Vijayanagara innovations</w:t>
      </w:r>
      <w:r>
        <w:t xml:space="preserve"> </w:t>
      </w:r>
      <w:r>
        <w:t xml:space="preserve">1. Ornate</w:t>
      </w:r>
      <w:r>
        <w:t xml:space="preserve"> </w:t>
      </w:r>
      <w:r>
        <w:rPr>
          <w:iCs/>
          <w:i/>
        </w:rPr>
        <w:t xml:space="preserve">Kalyana Mandapa</w:t>
      </w:r>
      <w:r>
        <w:t xml:space="preserve"> </w:t>
      </w:r>
      <w:r>
        <w:t xml:space="preserve">(marriage hall).</w:t>
      </w:r>
      <w:r>
        <w:t xml:space="preserve"> </w:t>
      </w:r>
      <w:r>
        <w:t xml:space="preserve">2. Monolithic sculptures — the Ugra Narasimha and the stone chariot at Hampi.</w:t>
      </w:r>
      <w:r>
        <w:t xml:space="preserve"> </w:t>
      </w:r>
      <w:r>
        <w:t xml:space="preserve">3. Richly carved composite pillars, including the musical pillars at the Vitthala temple.</w:t>
      </w:r>
      <w:r>
        <w:t xml:space="preserve"> </w:t>
      </w:r>
      <w:r>
        <w:t xml:space="preserve">4. Elaborately carved gateways.</w:t>
      </w:r>
    </w:p>
    <w:p>
      <w:pPr>
        <w:pStyle w:val="BodyText"/>
      </w:pPr>
      <w:r>
        <w:rPr>
          <w:bCs/>
          <w:b/>
        </w:rPr>
        <w:t xml:space="preserve">4. Significance of coexistence</w:t>
      </w:r>
      <w:r>
        <w:t xml:space="preserve"> </w:t>
      </w:r>
      <w:r>
        <w:t xml:space="preserve">Dravidian temple towers and Islamic-influenced secular pavilions coexist within the same capital, Hampi — reflecting the empire’s dual role as defender of Hindu tradition and cosmopolitan participant in the Deccan’s shared architectural idiom.</w:t>
      </w:r>
    </w:p>
    <w:p>
      <w:pPr>
        <w:pStyle w:val="BodyText"/>
      </w:pPr>
      <w:r>
        <w:t xml:space="preserve">Thus, Vijayanagara architecture stands as a unique testament to deliberate cultural synthesis rather than isolated stylistic continuity.</w:t>
      </w:r>
    </w:p>
    <w:p>
      <w:r>
        <w:pict>
          <v:rect style="width:0;height:1.5pt" o:hralign="center" o:hrstd="t" o:hr="t"/>
        </w:pict>
      </w:r>
    </w:p>
    <w:bookmarkEnd w:id="30"/>
    <w:bookmarkStart w:id="31" w:name="X1dc304ef0b881a032296e2de6f838c270d654e3"/>
    <w:p>
      <w:pPr>
        <w:pStyle w:val="Heading3"/>
      </w:pPr>
      <w:r>
        <w:t xml:space="preserve">Q12. Linguistic reorganization of Indian States was driven by popular pressure from below. Comment. (250 words)</w:t>
      </w:r>
    </w:p>
    <w:p>
      <w:pPr>
        <w:pStyle w:val="FirstParagraph"/>
      </w:pPr>
      <w:r>
        <w:t xml:space="preserve">The process unfolded in three phases, each driven by popular pressure:</w:t>
      </w:r>
    </w:p>
    <w:p>
      <w:pPr>
        <w:pStyle w:val="BodyText"/>
      </w:pPr>
      <w:r>
        <w:rPr>
          <w:bCs/>
          <w:b/>
        </w:rPr>
        <w:t xml:space="preserve">1. The Andhra movement (the decisive first instance)</w:t>
      </w:r>
      <w:r>
        <w:t xml:space="preserve"> </w:t>
      </w:r>
      <w:r>
        <w:t xml:space="preserve">1. Potti Sriramulu’s fast-unto-death (1952) for a Telugu-speaking state, and his subsequent death, triggered massive agitation.</w:t>
      </w:r>
      <w:r>
        <w:t xml:space="preserve"> </w:t>
      </w:r>
      <w:r>
        <w:t xml:space="preserve">2. Forced the Centre to concede Andhra Pradesh (1953) — the first linguistic state — despite earlier reluctance following the Dhar Commission and JVP Committee.</w:t>
      </w:r>
    </w:p>
    <w:p>
      <w:pPr>
        <w:pStyle w:val="BodyText"/>
      </w:pPr>
      <w:r>
        <w:rPr>
          <w:bCs/>
          <w:b/>
        </w:rPr>
        <w:t xml:space="preserve">2. Spread of movements and the States Reorganisation Commission</w:t>
      </w:r>
      <w:r>
        <w:t xml:space="preserve"> </w:t>
      </w:r>
      <w:r>
        <w:t xml:space="preserve">1. Andhra’s success emboldened Marathi, Kannada, Punjabi, and Malayalam-speaking populations.</w:t>
      </w:r>
      <w:r>
        <w:t xml:space="preserve"> </w:t>
      </w:r>
      <w:r>
        <w:t xml:space="preserve">2. Compelled the Centre to appoint the States Reorganisation Commission (1953) under Fazl Ali.</w:t>
      </w:r>
      <w:r>
        <w:t xml:space="preserve"> </w:t>
      </w:r>
      <w:r>
        <w:t xml:space="preserve">3. Led to the States Reorganisation Act, 1956 — a major redrawing of boundaries along linguistic lines.</w:t>
      </w:r>
    </w:p>
    <w:p>
      <w:pPr>
        <w:pStyle w:val="BodyText"/>
      </w:pPr>
      <w:r>
        <w:rPr>
          <w:bCs/>
          <w:b/>
        </w:rPr>
        <w:t xml:space="preserve">3. Continued agitation after 1956</w:t>
      </w:r>
      <w:r>
        <w:t xml:space="preserve"> </w:t>
      </w:r>
      <w:r>
        <w:t xml:space="preserve">1. The Samyukta Maharashtra and Mahagujarat movements forced bifurcation of bilingual Bombay State (1960) into Maharashtra and Gujarat.</w:t>
      </w:r>
      <w:r>
        <w:t xml:space="preserve"> </w:t>
      </w:r>
      <w:r>
        <w:t xml:space="preserve">2. The Punjabi Suba movement secured a separate Punjab in 1966.</w:t>
      </w:r>
    </w:p>
    <w:p>
      <w:pPr>
        <w:pStyle w:val="BodyText"/>
      </w:pPr>
      <w:r>
        <w:rPr>
          <w:bCs/>
          <w:b/>
        </w:rPr>
        <w:t xml:space="preserve">4. The Centre’s balancing role</w:t>
      </w:r>
      <w:r>
        <w:t xml:space="preserve"> </w:t>
      </w:r>
      <w:r>
        <w:t xml:space="preserve">While exercising final constitutional authority and weighing fears of fragmenting national unity, the Centre’s actual decisions on pace and boundaries were substantially dictated by grassroots agitation.</w:t>
      </w:r>
    </w:p>
    <w:p>
      <w:pPr>
        <w:pStyle w:val="BodyText"/>
      </w:pPr>
      <w:r>
        <w:t xml:space="preserve">This confirms that linguistic identity was a powerful basis for democratic mass mobilization in post-independence India.</w:t>
      </w:r>
    </w:p>
    <w:p>
      <w:r>
        <w:pict>
          <v:rect style="width:0;height:1.5pt" o:hralign="center" o:hrstd="t" o:hr="t"/>
        </w:pict>
      </w:r>
    </w:p>
    <w:bookmarkEnd w:id="31"/>
    <w:bookmarkStart w:id="32" w:name="X8eff13bdc158bebb62370bda4d6727583e25729"/>
    <w:p>
      <w:pPr>
        <w:pStyle w:val="Heading3"/>
      </w:pPr>
      <w:r>
        <w:t xml:space="preserve">Q13. The model of planned economy was adopted in India to address the regional imbalances left behind by colonial rule. Comment. (250 words)</w:t>
      </w:r>
    </w:p>
    <w:p>
      <w:pPr>
        <w:pStyle w:val="FirstParagraph"/>
      </w:pPr>
      <w:r>
        <w:rPr>
          <w:bCs/>
          <w:b/>
        </w:rPr>
        <w:t xml:space="preserve">1. Colonial legacy of regional imbalance</w:t>
      </w:r>
      <w:r>
        <w:t xml:space="preserve"> </w:t>
      </w:r>
      <w:r>
        <w:t xml:space="preserve">1. Deindustrialization was concentrated unevenly across regions.</w:t>
      </w:r>
      <w:r>
        <w:t xml:space="preserve"> </w:t>
      </w:r>
      <w:r>
        <w:t xml:space="preserve">2. Infrastructure (railways, ports) was built for extraction and export, favouring port cities (Bombay, Calcutta, Madras) over the hinterland.</w:t>
      </w:r>
      <w:r>
        <w:t xml:space="preserve"> </w:t>
      </w:r>
      <w:r>
        <w:t xml:space="preserve">3. Disparities existed between princely states and British provinces in social infrastructure.</w:t>
      </w:r>
    </w:p>
    <w:p>
      <w:pPr>
        <w:pStyle w:val="BodyText"/>
      </w:pPr>
      <w:r>
        <w:rPr>
          <w:bCs/>
          <w:b/>
        </w:rPr>
        <w:t xml:space="preserve">2. The planning response</w:t>
      </w:r>
      <w:r>
        <w:t xml:space="preserve"> </w:t>
      </w:r>
      <w:r>
        <w:t xml:space="preserve">1. Influenced by the Bombay Plan, Gandhian, and socialist thought, planners adopted centralized Five-Year Planning for state-directed industrialization.</w:t>
      </w:r>
      <w:r>
        <w:t xml:space="preserve"> </w:t>
      </w:r>
      <w:r>
        <w:t xml:space="preserve">2.</w:t>
      </w:r>
      <w:r>
        <w:t xml:space="preserve"> </w:t>
      </w:r>
      <w:r>
        <w:rPr>
          <w:bCs/>
          <w:b/>
        </w:rPr>
        <w:t xml:space="preserve">Second Plan (Mahalanobis strategy)</w:t>
      </w:r>
      <w:r>
        <w:t xml:space="preserve">: Public-sector steel plants at Bhilai, Rourkela, Durgapur, and Bokaro were deliberately located in resource-rich but backward eastern/central India.</w:t>
      </w:r>
      <w:r>
        <w:t xml:space="preserve"> </w:t>
      </w:r>
      <w:r>
        <w:t xml:space="preserve">3.</w:t>
      </w:r>
      <w:r>
        <w:t xml:space="preserve"> </w:t>
      </w:r>
      <w:r>
        <w:rPr>
          <w:bCs/>
          <w:b/>
        </w:rPr>
        <w:t xml:space="preserve">River valley projects</w:t>
      </w:r>
      <w:r>
        <w:t xml:space="preserve">: Bhakra-Nangal, Damodar Valley Corporation, Hirakud targeted backward, flood/drought-prone regions.</w:t>
      </w:r>
      <w:r>
        <w:t xml:space="preserve"> </w:t>
      </w:r>
      <w:r>
        <w:t xml:space="preserve">4. Planning Commission incorporated</w:t>
      </w:r>
      <w:r>
        <w:t xml:space="preserve"> </w:t>
      </w:r>
      <w:r>
        <w:t xml:space="preserve">“</w:t>
      </w:r>
      <w:r>
        <w:t xml:space="preserve">backward area</w:t>
      </w:r>
      <w:r>
        <w:t xml:space="preserve">”</w:t>
      </w:r>
      <w:r>
        <w:t xml:space="preserve"> </w:t>
      </w:r>
      <w:r>
        <w:t xml:space="preserve">criteria; later plans added dedicated backward-region/district programmes.</w:t>
      </w:r>
    </w:p>
    <w:p>
      <w:pPr>
        <w:pStyle w:val="BodyText"/>
      </w:pPr>
      <w:r>
        <w:rPr>
          <w:bCs/>
          <w:b/>
        </w:rPr>
        <w:t xml:space="preserve">3. Outcomes: mixed success</w:t>
      </w:r>
      <w:r>
        <w:t xml:space="preserve"> </w:t>
      </w:r>
      <w:r>
        <w:t xml:space="preserve">1. Private investment still clustered around the Mumbai-Pune-Ahmedabad and Bangalore-Chennai corridors.</w:t>
      </w:r>
      <w:r>
        <w:t xml:space="preserve"> </w:t>
      </w:r>
      <w:r>
        <w:t xml:space="preserve">2. States like Bihar, Odisha, and erstwhile princely regions remained relatively underdeveloped.</w:t>
      </w:r>
      <w:r>
        <w:t xml:space="preserve"> </w:t>
      </w:r>
      <w:r>
        <w:t xml:space="preserve">3. License-permit inefficiencies limited overall effectiveness.</w:t>
      </w:r>
    </w:p>
    <w:p>
      <w:pPr>
        <w:pStyle w:val="BodyText"/>
      </w:pPr>
      <w:r>
        <w:t xml:space="preserve">The deliberate locational strategy of public-sector investment thus reflects a conscious, if imperfectly realized, attempt to reverse colonial-era regional imbalances through state intervention.</w:t>
      </w:r>
    </w:p>
    <w:p>
      <w:r>
        <w:pict>
          <v:rect style="width:0;height:1.5pt" o:hralign="center" o:hrstd="t" o:hr="t"/>
        </w:pict>
      </w:r>
    </w:p>
    <w:bookmarkEnd w:id="32"/>
    <w:bookmarkStart w:id="33" w:name="Xee7ccd5b8fa1a957ab53f8806511a02efe38c79"/>
    <w:p>
      <w:pPr>
        <w:pStyle w:val="Heading3"/>
      </w:pPr>
      <w:r>
        <w:t xml:space="preserve">Q14. Compare the Loo, Chinook and Foehn winds with respect to their regions of prevalence, their nature and climatic impacts. (250 words)</w:t>
      </w:r>
    </w:p>
    <w:p>
      <w:pPr>
        <w:pStyle w:val="FirstParagraph"/>
      </w:pPr>
      <w:r>
        <w:rPr>
          <w:bCs/>
          <w:b/>
        </w:rPr>
        <w:t xml:space="preserve">1. Loo</w:t>
      </w:r>
      <w:r>
        <w:t xml:space="preserve"> </w:t>
      </w:r>
      <w:r>
        <w:t xml:space="preserve">1.</w:t>
      </w:r>
      <w:r>
        <w:t xml:space="preserve"> </w:t>
      </w:r>
      <w:r>
        <w:rPr>
          <w:bCs/>
          <w:b/>
        </w:rPr>
        <w:t xml:space="preserve">Region</w:t>
      </w:r>
      <w:r>
        <w:t xml:space="preserve">: Indo-Gangetic plains, India-Pakistan.</w:t>
      </w:r>
      <w:r>
        <w:t xml:space="preserve"> </w:t>
      </w:r>
      <w:r>
        <w:t xml:space="preserve">2.</w:t>
      </w:r>
      <w:r>
        <w:t xml:space="preserve"> </w:t>
      </w:r>
      <w:r>
        <w:rPr>
          <w:bCs/>
          <w:b/>
        </w:rPr>
        <w:t xml:space="preserve">Timing</w:t>
      </w:r>
      <w:r>
        <w:t xml:space="preserve">: Summer (April–June), afternoon hours.</w:t>
      </w:r>
      <w:r>
        <w:t xml:space="preserve"> </w:t>
      </w:r>
      <w:r>
        <w:t xml:space="preserve">3.</w:t>
      </w:r>
      <w:r>
        <w:t xml:space="preserve"> </w:t>
      </w:r>
      <w:r>
        <w:rPr>
          <w:bCs/>
          <w:b/>
        </w:rPr>
        <w:t xml:space="preserve">Nature</w:t>
      </w:r>
      <w:r>
        <w:t xml:space="preserve">: Strong, dry, dust-laden, intensely hot; thermally-driven by surface heating — not orographic.</w:t>
      </w:r>
      <w:r>
        <w:t xml:space="preserve"> </w:t>
      </w:r>
      <w:r>
        <w:t xml:space="preserve">4.</w:t>
      </w:r>
      <w:r>
        <w:t xml:space="preserve"> </w:t>
      </w:r>
      <w:r>
        <w:rPr>
          <w:bCs/>
          <w:b/>
        </w:rPr>
        <w:t xml:space="preserve">Impact</w:t>
      </w:r>
      <w:r>
        <w:t xml:space="preserve">: Heat stress, heatstroke deaths, crop desiccation.</w:t>
      </w:r>
    </w:p>
    <w:p>
      <w:pPr>
        <w:pStyle w:val="BodyText"/>
      </w:pPr>
      <w:r>
        <w:rPr>
          <w:bCs/>
          <w:b/>
        </w:rPr>
        <w:t xml:space="preserve">2. Chinook</w:t>
      </w:r>
      <w:r>
        <w:t xml:space="preserve"> </w:t>
      </w:r>
      <w:r>
        <w:t xml:space="preserve">1.</w:t>
      </w:r>
      <w:r>
        <w:t xml:space="preserve"> </w:t>
      </w:r>
      <w:r>
        <w:rPr>
          <w:bCs/>
          <w:b/>
        </w:rPr>
        <w:t xml:space="preserve">Region</w:t>
      </w:r>
      <w:r>
        <w:t xml:space="preserve">: Eastern (leeward) slopes of the Rockies, USA/Canada.</w:t>
      </w:r>
      <w:r>
        <w:t xml:space="preserve"> </w:t>
      </w:r>
      <w:r>
        <w:t xml:space="preserve">2.</w:t>
      </w:r>
      <w:r>
        <w:t xml:space="preserve"> </w:t>
      </w:r>
      <w:r>
        <w:rPr>
          <w:bCs/>
          <w:b/>
        </w:rPr>
        <w:t xml:space="preserve">Timing</w:t>
      </w:r>
      <w:r>
        <w:t xml:space="preserve">: Winter and early spring.</w:t>
      </w:r>
      <w:r>
        <w:t xml:space="preserve"> </w:t>
      </w:r>
      <w:r>
        <w:t xml:space="preserve">3.</w:t>
      </w:r>
      <w:r>
        <w:t xml:space="preserve"> </w:t>
      </w:r>
      <w:r>
        <w:rPr>
          <w:bCs/>
          <w:b/>
        </w:rPr>
        <w:t xml:space="preserve">Nature</w:t>
      </w:r>
      <w:r>
        <w:t xml:space="preserve">: Warm, dry, katabatic; orographic — moisture lost windward, adiabatic warming on descent.</w:t>
      </w:r>
      <w:r>
        <w:t xml:space="preserve"> </w:t>
      </w:r>
      <w:r>
        <w:t xml:space="preserve">4.</w:t>
      </w:r>
      <w:r>
        <w:t xml:space="preserve"> </w:t>
      </w:r>
      <w:r>
        <w:rPr>
          <w:bCs/>
          <w:b/>
        </w:rPr>
        <w:t xml:space="preserve">Impact</w:t>
      </w:r>
      <w:r>
        <w:t xml:space="preserve">: Called the</w:t>
      </w:r>
      <w:r>
        <w:t xml:space="preserve"> </w:t>
      </w:r>
      <w:r>
        <w:t xml:space="preserve">“</w:t>
      </w:r>
      <w:r>
        <w:t xml:space="preserve">snow-eater</w:t>
      </w:r>
      <w:r>
        <w:t xml:space="preserve">”</w:t>
      </w:r>
      <w:r>
        <w:t xml:space="preserve"> </w:t>
      </w:r>
      <w:r>
        <w:t xml:space="preserve">— melts snow, exposes pasture, extends the growing season; but triggers avalanches and rapid flooding.</w:t>
      </w:r>
    </w:p>
    <w:p>
      <w:pPr>
        <w:pStyle w:val="BodyText"/>
      </w:pPr>
      <w:r>
        <w:rPr>
          <w:bCs/>
          <w:b/>
        </w:rPr>
        <w:t xml:space="preserve">3. Foehn</w:t>
      </w:r>
      <w:r>
        <w:t xml:space="preserve"> </w:t>
      </w:r>
      <w:r>
        <w:t xml:space="preserve">1.</w:t>
      </w:r>
      <w:r>
        <w:t xml:space="preserve"> </w:t>
      </w:r>
      <w:r>
        <w:rPr>
          <w:bCs/>
          <w:b/>
        </w:rPr>
        <w:t xml:space="preserve">Region</w:t>
      </w:r>
      <w:r>
        <w:t xml:space="preserve">: Northern (leeward) slopes of the European Alps.</w:t>
      </w:r>
      <w:r>
        <w:t xml:space="preserve"> </w:t>
      </w:r>
      <w:r>
        <w:t xml:space="preserve">2.</w:t>
      </w:r>
      <w:r>
        <w:t xml:space="preserve"> </w:t>
      </w:r>
      <w:r>
        <w:rPr>
          <w:bCs/>
          <w:b/>
        </w:rPr>
        <w:t xml:space="preserve">Nature</w:t>
      </w:r>
      <w:r>
        <w:t xml:space="preserve">: Mechanistically identical to Chinook — warm, dry, orographic, katabatic.</w:t>
      </w:r>
      <w:r>
        <w:t xml:space="preserve"> </w:t>
      </w:r>
      <w:r>
        <w:t xml:space="preserve">3.</w:t>
      </w:r>
      <w:r>
        <w:t xml:space="preserve"> </w:t>
      </w:r>
      <w:r>
        <w:rPr>
          <w:bCs/>
          <w:b/>
        </w:rPr>
        <w:t xml:space="preserve">Impact</w:t>
      </w:r>
      <w:r>
        <w:t xml:space="preserve">: Rapid snowmelt; aids grape/fruit ripening in Alpine valleys; raises wildfire and avalanche risk.</w:t>
      </w:r>
    </w:p>
    <w:p>
      <w:pPr>
        <w:pStyle w:val="BodyText"/>
      </w:pPr>
      <w:r>
        <w:rPr>
          <w:bCs/>
          <w:b/>
        </w:rPr>
        <w:t xml:space="preserve">4. Key comparative point</w:t>
      </w:r>
      <w:r>
        <w:t xml:space="preserve"> </w:t>
      </w:r>
      <w:r>
        <w:t xml:space="preserve">Loo is a plains-based, purely thermal phenomenon, while Chinook and Foehn are orographically identical winds differing only in geography — both largely beneficial but occasionally hazardous, unlike the uniformly hazardous Loo.</w:t>
      </w:r>
    </w:p>
    <w:p>
      <w:r>
        <w:pict>
          <v:rect style="width:0;height:1.5pt" o:hralign="center" o:hrstd="t" o:hr="t"/>
        </w:pict>
      </w:r>
    </w:p>
    <w:bookmarkEnd w:id="33"/>
    <w:bookmarkStart w:id="34" w:name="X0c96fbca4c1c7c35f8618b13fbbc40a2f194a44"/>
    <w:p>
      <w:pPr>
        <w:pStyle w:val="Heading3"/>
      </w:pPr>
      <w:r>
        <w:t xml:space="preserve">Q15. Analyze the role of satellite-based technologies in achieving climate-smart agriculture and food security in India. (250 words)</w:t>
      </w:r>
    </w:p>
    <w:p>
      <w:pPr>
        <w:pStyle w:val="FirstParagraph"/>
      </w:pPr>
      <w:r>
        <w:t xml:space="preserve">Satellite-based technologies contribute across the following areas: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Crop monitoring &amp; forecasting</w:t>
      </w:r>
      <w:r>
        <w:t xml:space="preserve">: Remote sensing/GIS map cropped area, assess crop health (NDVI), and forecast yields — supporting the FASAL programme and timely procurement/export-import decisions.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Weather &amp; rainfall forecasting</w:t>
      </w:r>
      <w:r>
        <w:t xml:space="preserve">: ISRO-IMD collaboration helps farmers time sowing, irrigation, and harvesting.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Irrigation management</w:t>
      </w:r>
      <w:r>
        <w:t xml:space="preserve">: Soil moisture and groundwater monitoring support precision irrigation, conserving water in stressed regions.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Crop insurance (PMFBY)</w:t>
      </w:r>
      <w:r>
        <w:t xml:space="preserve">: Satellite imagery enables objective, rapid, transparent crop-loss assessment, replacing manual crop-cutting experiments and speeding compensation.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Disaster management</w:t>
      </w:r>
      <w:r>
        <w:t xml:space="preserve">: Early warning systems (ISRO’s Bhuvan, NRSC) for droughts, floods, and cyclones protect standing crops and rural livelihoods.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Land management</w:t>
      </w:r>
      <w:r>
        <w:t xml:space="preserve">: Land degradation/desertification mapping supports targeted watershed development and soil conservation.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Emerging applications</w:t>
      </w:r>
      <w:r>
        <w:t xml:space="preserve">: Precision agriculture (variable-rate input application), pest/disease outbreak prediction, and AI-integrated yield optimization.</w:t>
      </w:r>
    </w:p>
    <w:p>
      <w:pPr>
        <w:pStyle w:val="FirstParagraph"/>
      </w:pPr>
      <w:r>
        <w:t xml:space="preserve">By enabling data-driven, anticipatory rather than reactive agricultural management, satellite technologies significantly strengthen India’s food security under climate stress while promoting resource-efficient farming.</w:t>
      </w:r>
    </w:p>
    <w:p>
      <w:r>
        <w:pict>
          <v:rect style="width:0;height:1.5pt" o:hralign="center" o:hrstd="t" o:hr="t"/>
        </w:pict>
      </w:r>
    </w:p>
    <w:bookmarkEnd w:id="34"/>
    <w:bookmarkStart w:id="35" w:name="Xdf66c2134ea2d0b92e759d9c5fd192eae94d978"/>
    <w:p>
      <w:pPr>
        <w:pStyle w:val="Heading3"/>
      </w:pPr>
      <w:r>
        <w:t xml:space="preserve">Q16.</w:t>
      </w:r>
      <w:r>
        <w:t xml:space="preserve"> </w:t>
      </w:r>
      <w:r>
        <w:t xml:space="preserve">“</w:t>
      </w:r>
      <w:r>
        <w:t xml:space="preserve">The centre of global trade is gradually shifting from the Atlantic region to the Indo-Pacific region.</w:t>
      </w:r>
      <w:r>
        <w:t xml:space="preserve">”</w:t>
      </w:r>
      <w:r>
        <w:t xml:space="preserve"> </w:t>
      </w:r>
      <w:r>
        <w:t xml:space="preserve">Examine this statement. (250 words)</w:t>
      </w:r>
    </w:p>
    <w:p>
      <w:pPr>
        <w:pStyle w:val="FirstParagraph"/>
      </w:pPr>
      <w:r>
        <w:rPr>
          <w:bCs/>
          <w:b/>
        </w:rPr>
        <w:t xml:space="preserve">1. Historical Atlantic dominance</w:t>
      </w:r>
      <w:r>
        <w:t xml:space="preserve"> </w:t>
      </w:r>
      <w:r>
        <w:t xml:space="preserve">The US-Europe trade and financial relationship anchored global commerce since the industrial revolution.</w:t>
      </w:r>
    </w:p>
    <w:p>
      <w:pPr>
        <w:pStyle w:val="BodyText"/>
      </w:pPr>
      <w:r>
        <w:rPr>
          <w:bCs/>
          <w:b/>
        </w:rPr>
        <w:t xml:space="preserve">2. Rise of the Indo-Pacific</w:t>
      </w:r>
      <w:r>
        <w:t xml:space="preserve"> </w:t>
      </w:r>
      <w:r>
        <w:t xml:space="preserve">1. China’s manufacturing dominance, India’s economic emergence, and ASEAN’s dynamism.</w:t>
      </w:r>
      <w:r>
        <w:t xml:space="preserve"> </w:t>
      </w:r>
      <w:r>
        <w:t xml:space="preserve">2. Region now accounts for a majority of global GDP growth and rising trade-volume share.</w:t>
      </w:r>
      <w:r>
        <w:t xml:space="preserve"> </w:t>
      </w:r>
      <w:r>
        <w:t xml:space="preserve">3. Intra-Asian supply chains;</w:t>
      </w:r>
      <w:r>
        <w:t xml:space="preserve"> </w:t>
      </w:r>
      <w:r>
        <w:t xml:space="preserve">“</w:t>
      </w:r>
      <w:r>
        <w:t xml:space="preserve">China Plus One</w:t>
      </w:r>
      <w:r>
        <w:t xml:space="preserve">”</w:t>
      </w:r>
      <w:r>
        <w:t xml:space="preserve"> </w:t>
      </w:r>
      <w:r>
        <w:t xml:space="preserve">diversification into India, Vietnam.</w:t>
      </w:r>
      <w:r>
        <w:t xml:space="preserve"> </w:t>
      </w:r>
      <w:r>
        <w:t xml:space="preserve">4. Malacca Strait, South China Sea, and Indian Ocean carry a disproportionate share of maritime trade.</w:t>
      </w:r>
    </w:p>
    <w:p>
      <w:pPr>
        <w:pStyle w:val="BodyText"/>
      </w:pPr>
      <w:r>
        <w:rPr>
          <w:bCs/>
          <w:b/>
        </w:rPr>
        <w:t xml:space="preserve">3. Strategic frameworks reflecting the shift</w:t>
      </w:r>
      <w:r>
        <w:t xml:space="preserve"> </w:t>
      </w:r>
      <w:r>
        <w:t xml:space="preserve">US Indo-Pacific Strategy; India’s Act East Policy and SAGAR doctrine; the Quad; IPEF — alongside infrastructure competition between India’s connectivity initiatives and China’s Belt and Road Initiative.</w:t>
      </w:r>
    </w:p>
    <w:p>
      <w:pPr>
        <w:pStyle w:val="BodyText"/>
      </w:pPr>
      <w:r>
        <w:rPr>
          <w:bCs/>
          <w:b/>
        </w:rPr>
        <w:t xml:space="preserve">4. The counterpoint</w:t>
      </w:r>
      <w:r>
        <w:t xml:space="preserve"> </w:t>
      </w:r>
      <w:r>
        <w:t xml:space="preserve">The US and EU remain the largest consumer markets and sources of capital/technology; transatlantic linkages remain deep.</w:t>
      </w:r>
    </w:p>
    <w:p>
      <w:pPr>
        <w:pStyle w:val="BodyText"/>
      </w:pPr>
      <w:r>
        <w:rPr>
          <w:bCs/>
          <w:b/>
        </w:rPr>
        <w:t xml:space="preserve">Conclusion</w:t>
      </w:r>
      <w:r>
        <w:t xml:space="preserve">: This reflects a gradual rebalancing of trade’s centre of gravity toward the Indo-Pacific, not a complete replacement of Atlantic significance.</w:t>
      </w:r>
    </w:p>
    <w:p>
      <w:r>
        <w:pict>
          <v:rect style="width:0;height:1.5pt" o:hralign="center" o:hrstd="t" o:hr="t"/>
        </w:pict>
      </w:r>
    </w:p>
    <w:bookmarkEnd w:id="35"/>
    <w:bookmarkStart w:id="36" w:name="Xffe52f1fdca85df5f79f318ef9db160aa7164ee"/>
    <w:p>
      <w:pPr>
        <w:pStyle w:val="Heading3"/>
      </w:pPr>
      <w:r>
        <w:t xml:space="preserve">Q17. Analyze the major drivers of human-induced land-use changes in India and their geographical consequences. (250 words)</w:t>
      </w:r>
    </w:p>
    <w:p>
      <w:pPr>
        <w:pStyle w:val="FirstParagraph"/>
      </w:pPr>
      <w:r>
        <w:rPr>
          <w:bCs/>
          <w:b/>
        </w:rPr>
        <w:t xml:space="preserve">1. Major drivers</w:t>
      </w:r>
      <w:r>
        <w:t xml:space="preserve"> </w:t>
      </w:r>
      <w:r>
        <w:t xml:space="preserve">1. Rapid urbanization/sprawl converting agricultural and forest land.</w:t>
      </w:r>
      <w:r>
        <w:t xml:space="preserve"> </w:t>
      </w:r>
      <w:r>
        <w:t xml:space="preserve">2. Agricultural expansion into marginal, forest-fringe, and wetland areas; Green Revolution intensification (Punjab-Haryana).</w:t>
      </w:r>
      <w:r>
        <w:t xml:space="preserve"> </w:t>
      </w:r>
      <w:r>
        <w:t xml:space="preserve">3. Deforestation for timber, agriculture, and infrastructure; mining in Jharkhand, Odisha, Chhattisgarh.</w:t>
      </w:r>
      <w:r>
        <w:t xml:space="preserve"> </w:t>
      </w:r>
      <w:r>
        <w:t xml:space="preserve">4. Large infrastructure — dams, highways, industrial corridors, SEZs.</w:t>
      </w:r>
      <w:r>
        <w:t xml:space="preserve"> </w:t>
      </w:r>
      <w:r>
        <w:t xml:space="preserve">5. Livestock grazing pressure degrading grasslands; unsustainable irrigation causing waterlogging/salinization.</w:t>
      </w:r>
    </w:p>
    <w:p>
      <w:pPr>
        <w:pStyle w:val="BodyText"/>
      </w:pPr>
      <w:r>
        <w:rPr>
          <w:bCs/>
          <w:b/>
        </w:rPr>
        <w:t xml:space="preserve">2. Geographical consequences</w:t>
      </w:r>
      <w:r>
        <w:t xml:space="preserve"> </w:t>
      </w:r>
      <w:r>
        <w:t xml:space="preserve">1. Deforestation/mining: soil erosion, biodiversity loss, disrupted watershed hydrology (Western Ghats, central Indian forest belt).</w:t>
      </w:r>
      <w:r>
        <w:t xml:space="preserve"> </w:t>
      </w:r>
      <w:r>
        <w:t xml:space="preserve">2. Urban expansion: heat island effects, loss of wetlands/water bodies (Bengaluru, NCR), increased flooding, groundwater depletion.</w:t>
      </w:r>
      <w:r>
        <w:t xml:space="preserve"> </w:t>
      </w:r>
      <w:r>
        <w:t xml:space="preserve">3. Agricultural intensification: soil nutrient depletion, groundwater over-extraction (Punjab, peninsular India), salinization.</w:t>
      </w:r>
      <w:r>
        <w:t xml:space="preserve"> </w:t>
      </w:r>
      <w:r>
        <w:t xml:space="preserve">4. Coastal land-use change (aquaculture, tourism): mangrove degradation, increased cyclone/sea-level-rise vulnerability.</w:t>
      </w:r>
    </w:p>
    <w:p>
      <w:pPr>
        <w:pStyle w:val="BodyText"/>
      </w:pPr>
      <w:r>
        <w:t xml:space="preserve">These changes collectively threaten ecological sustainability and strain water resources, necessitating integrated land-use planning and climate-resilient design.</w:t>
      </w:r>
    </w:p>
    <w:p>
      <w:r>
        <w:pict>
          <v:rect style="width:0;height:1.5pt" o:hralign="center" o:hrstd="t" o:hr="t"/>
        </w:pict>
      </w:r>
    </w:p>
    <w:bookmarkEnd w:id="36"/>
    <w:bookmarkStart w:id="37" w:name="Xa2ef2a0ba29a07c871089a37216bb1d0da18dcb"/>
    <w:p>
      <w:pPr>
        <w:pStyle w:val="Heading3"/>
      </w:pPr>
      <w:r>
        <w:t xml:space="preserve">Q18. Is caste disappearing in urban India? Illustrate your answer with examples. (250 words)</w:t>
      </w:r>
    </w:p>
    <w:p>
      <w:pPr>
        <w:pStyle w:val="FirstParagraph"/>
      </w:pPr>
      <w:r>
        <w:rPr>
          <w:bCs/>
          <w:b/>
        </w:rPr>
        <w:t xml:space="preserve">1. Evidence of decline</w:t>
      </w:r>
      <w:r>
        <w:t xml:space="preserve"> </w:t>
      </w:r>
      <w:r>
        <w:t xml:space="preserve">1. Workplaces and institutions increasingly operate on merit rather than caste hierarchy.</w:t>
      </w:r>
      <w:r>
        <w:t xml:space="preserve"> </w:t>
      </w:r>
      <w:r>
        <w:t xml:space="preserve">2. Urban anonymity reduces the face-to-face caste-based social control seen in villages.</w:t>
      </w:r>
      <w:r>
        <w:t xml:space="preserve"> </w:t>
      </w:r>
      <w:r>
        <w:t xml:space="preserve">3. Inter-caste friendships and professional collaboration are common in the urban middle class.</w:t>
      </w:r>
      <w:r>
        <w:t xml:space="preserve"> </w:t>
      </w:r>
      <w:r>
        <w:t xml:space="preserve">4. Occupational restrictions have weakened with the growth of the IT/service sector.</w:t>
      </w:r>
    </w:p>
    <w:p>
      <w:pPr>
        <w:pStyle w:val="BodyText"/>
      </w:pPr>
      <w:r>
        <w:rPr>
          <w:bCs/>
          <w:b/>
        </w:rPr>
        <w:t xml:space="preserve">2. Evidence of persistence</w:t>
      </w:r>
      <w:r>
        <w:t xml:space="preserve"> </w:t>
      </w:r>
      <w:r>
        <w:t xml:space="preserve">1. Matrimonial choices remain overwhelmingly endogamous (caste filters on matrimonial platforms); honour-based violence against inter-caste unions continues.</w:t>
      </w:r>
      <w:r>
        <w:t xml:space="preserve"> </w:t>
      </w:r>
      <w:r>
        <w:t xml:space="preserve">2. Housing discrimination persists — landlord reluctance toward Dalit tenants (documented in Delhi, Mumbai studies), including name-based rental refusals.</w:t>
      </w:r>
      <w:r>
        <w:t xml:space="preserve"> </w:t>
      </w:r>
      <w:r>
        <w:t xml:space="preserve">3. Caste-based associations (sabhas) remain politically and socially active, mobilizing votes and welfare.</w:t>
      </w:r>
      <w:r>
        <w:t xml:space="preserve"> </w:t>
      </w:r>
      <w:r>
        <w:t xml:space="preserve">4. Caste atrocities are still reported even in metros; digital spaces enable new forms of caste assertion and networking.</w:t>
      </w:r>
    </w:p>
    <w:p>
      <w:pPr>
        <w:pStyle w:val="BodyText"/>
      </w:pPr>
      <w:r>
        <w:rPr>
          <w:bCs/>
          <w:b/>
        </w:rPr>
        <w:t xml:space="preserve">Conclusion</w:t>
      </w:r>
      <w:r>
        <w:t xml:space="preserve">: Caste is not disappearing but transforming — shifting from overt, ritual-hierarchy caste to an</w:t>
      </w:r>
      <w:r>
        <w:t xml:space="preserve"> </w:t>
      </w:r>
      <w:r>
        <w:t xml:space="preserve">“</w:t>
      </w:r>
      <w:r>
        <w:t xml:space="preserve">invisible</w:t>
      </w:r>
      <w:r>
        <w:t xml:space="preserve">”</w:t>
      </w:r>
      <w:r>
        <w:t xml:space="preserve">/reconfigured caste operating through marriage, kinship, and political mobilization. This is adaptation, not disappearance.</w:t>
      </w:r>
    </w:p>
    <w:p>
      <w:r>
        <w:pict>
          <v:rect style="width:0;height:1.5pt" o:hralign="center" o:hrstd="t" o:hr="t"/>
        </w:pict>
      </w:r>
    </w:p>
    <w:bookmarkEnd w:id="37"/>
    <w:bookmarkStart w:id="38" w:name="X3f6ac8037d3febaf27b4cca2da11243489da4cb"/>
    <w:p>
      <w:pPr>
        <w:pStyle w:val="Heading3"/>
      </w:pPr>
      <w:r>
        <w:t xml:space="preserve">Q19. Critically examine the challenges of demographic transition in contemporary India. (250 words)</w:t>
      </w:r>
    </w:p>
    <w:p>
      <w:pPr>
        <w:pStyle w:val="FirstParagraph"/>
      </w:pPr>
      <w:r>
        <w:rPr>
          <w:bCs/>
          <w:b/>
        </w:rPr>
        <w:t xml:space="preserve">1. Regional asymmetry in transition stage</w:t>
      </w:r>
      <w:r>
        <w:t xml:space="preserve"> </w:t>
      </w:r>
      <w:r>
        <w:t xml:space="preserve">1. South/West (Kerala, Tamil Nadu, Karnataka, Andhra Pradesh): Transition complete, rapidly ageing — rising dependency ratios, pension/healthcare burdens, shrinking workforce.</w:t>
      </w:r>
      <w:r>
        <w:t xml:space="preserve"> </w:t>
      </w:r>
      <w:r>
        <w:t xml:space="preserve">2. North (Bihar, UP, Madhya Pradesh): Earlier transition stage, higher fertility — continued population growth, youthful profile.</w:t>
      </w:r>
    </w:p>
    <w:p>
      <w:pPr>
        <w:pStyle w:val="BodyText"/>
      </w:pPr>
      <w:r>
        <w:rPr>
          <w:bCs/>
          <w:b/>
        </w:rPr>
        <w:t xml:space="preserve">2. The demographic dividend challenge</w:t>
      </w:r>
      <w:r>
        <w:t xml:space="preserve"> </w:t>
      </w:r>
      <w:r>
        <w:t xml:space="preserve">Youth bulge is concentrated in economically lagging northern states with weaker education/skill infrastructure, risking conversion of the dividend into a burden through rising youth unemployment and underemployment.</w:t>
      </w:r>
    </w:p>
    <w:p>
      <w:pPr>
        <w:pStyle w:val="BodyText"/>
      </w:pPr>
      <w:r>
        <w:rPr>
          <w:bCs/>
          <w:b/>
        </w:rPr>
        <w:t xml:space="preserve">3. Urbanization pressure</w:t>
      </w:r>
      <w:r>
        <w:t xml:space="preserve"> </w:t>
      </w:r>
      <w:r>
        <w:t xml:space="preserve">Rapid urbanization accompanying transition strains infrastructure, housing, and services.</w:t>
      </w:r>
    </w:p>
    <w:p>
      <w:pPr>
        <w:pStyle w:val="BodyText"/>
      </w:pPr>
      <w:r>
        <w:rPr>
          <w:bCs/>
          <w:b/>
        </w:rPr>
        <w:t xml:space="preserve">4. Migration and representation challenges</w:t>
      </w:r>
      <w:r>
        <w:t xml:space="preserve"> </w:t>
      </w:r>
      <w:r>
        <w:t xml:space="preserve">Movement from high-fertility to low-fertility states raises integration issues and political-representation debates (e.g., delimitation tied to population).</w:t>
      </w:r>
    </w:p>
    <w:p>
      <w:pPr>
        <w:pStyle w:val="BodyText"/>
      </w:pPr>
      <w:r>
        <w:rPr>
          <w:bCs/>
          <w:b/>
        </w:rPr>
        <w:t xml:space="preserve">5. Healthcare’s dual burden</w:t>
      </w:r>
      <w:r>
        <w:t xml:space="preserve"> </w:t>
      </w:r>
      <w:r>
        <w:t xml:space="preserve">Continuing maternal-child health challenges in high-fertility regions alongside rising non-communicable and geriatric-care needs in ageing regions.</w:t>
      </w:r>
    </w:p>
    <w:p>
      <w:pPr>
        <w:pStyle w:val="BodyText"/>
      </w:pPr>
      <w:r>
        <w:rPr>
          <w:bCs/>
          <w:b/>
        </w:rPr>
        <w:t xml:space="preserve">6. Gender dimension</w:t>
      </w:r>
      <w:r>
        <w:t xml:space="preserve"> </w:t>
      </w:r>
      <w:r>
        <w:t xml:space="preserve">Skewed sex ratios persist in some states despite falling fertility.</w:t>
      </w:r>
    </w:p>
    <w:p>
      <w:pPr>
        <w:pStyle w:val="BodyText"/>
      </w:pPr>
      <w:r>
        <w:t xml:space="preserve">These challenges require region-differentiated policy — skilling and job creation in the north, elder-care and pension systems in the south — rather than a uniform national approach.</w:t>
      </w:r>
    </w:p>
    <w:p>
      <w:r>
        <w:pict>
          <v:rect style="width:0;height:1.5pt" o:hralign="center" o:hrstd="t" o:hr="t"/>
        </w:pict>
      </w:r>
    </w:p>
    <w:bookmarkEnd w:id="38"/>
    <w:bookmarkStart w:id="39" w:name="X29b2fe992b09d3faec608760dbc8a98e25869b2"/>
    <w:p>
      <w:pPr>
        <w:pStyle w:val="Heading3"/>
      </w:pPr>
      <w:r>
        <w:t xml:space="preserve">Q20. Evaluate the impact of globalization on Indian youths with reference to social, political, economic and cultural spheres. (250 words)</w:t>
      </w:r>
    </w:p>
    <w:p>
      <w:pPr>
        <w:pStyle w:val="FirstParagraph"/>
      </w:pPr>
      <w:r>
        <w:rPr>
          <w:bCs/>
          <w:b/>
        </w:rPr>
        <w:t xml:space="preserve">1. Economic sphere</w:t>
      </w:r>
      <w:r>
        <w:t xml:space="preserve"> </w:t>
      </w:r>
      <w:r>
        <w:t xml:space="preserve">1. Opened IT, services, and MNC employment; created new career paths, rising incomes, and start-up culture.</w:t>
      </w:r>
      <w:r>
        <w:t xml:space="preserve"> </w:t>
      </w:r>
      <w:r>
        <w:t xml:space="preserve">2. Intensified competition and jobless growth in some sectors; widened rural-urban and skill-based disparities; contributed to precarious gig employment.</w:t>
      </w:r>
    </w:p>
    <w:p>
      <w:pPr>
        <w:pStyle w:val="BodyText"/>
      </w:pPr>
      <w:r>
        <w:rPr>
          <w:bCs/>
          <w:b/>
        </w:rPr>
        <w:t xml:space="preserve">2. Social sphere</w:t>
      </w:r>
      <w:r>
        <w:t xml:space="preserve"> </w:t>
      </w:r>
      <w:r>
        <w:t xml:space="preserve">1. Global lifestyles and consumerism altered aspirations, marriage patterns, and family structures — growing individualism over joint-family tradition.</w:t>
      </w:r>
      <w:r>
        <w:t xml:space="preserve"> </w:t>
      </w:r>
      <w:r>
        <w:t xml:space="preserve">2. Expanded awareness of global movements (gender rights, climate activism, LGBTQ+ rights), fostering more progressive attitudes among urban youth.</w:t>
      </w:r>
    </w:p>
    <w:p>
      <w:pPr>
        <w:pStyle w:val="BodyText"/>
      </w:pPr>
      <w:r>
        <w:rPr>
          <w:bCs/>
          <w:b/>
        </w:rPr>
        <w:t xml:space="preserve">3. Political sphere</w:t>
      </w:r>
      <w:r>
        <w:t xml:space="preserve"> </w:t>
      </w:r>
      <w:r>
        <w:t xml:space="preserve">1. Digital connectivity increased political awareness and enabled youth mobilization through digital platforms.</w:t>
      </w:r>
      <w:r>
        <w:t xml:space="preserve"> </w:t>
      </w:r>
      <w:r>
        <w:t xml:space="preserve">2. Greater engagement with global political discourse (human rights, environmental governance), though formal institutional participation remains uneven.</w:t>
      </w:r>
    </w:p>
    <w:p>
      <w:pPr>
        <w:pStyle w:val="BodyText"/>
      </w:pPr>
      <w:r>
        <w:rPr>
          <w:bCs/>
          <w:b/>
        </w:rPr>
        <w:t xml:space="preserve">4. Cultural sphere</w:t>
      </w:r>
      <w:r>
        <w:t xml:space="preserve"> </w:t>
      </w:r>
      <w:r>
        <w:t xml:space="preserve">1. Fostered cultural hybridity — blending Western influences with Indian traditions in fashion, music, food, and festivals.</w:t>
      </w:r>
      <w:r>
        <w:t xml:space="preserve"> </w:t>
      </w:r>
      <w:r>
        <w:t xml:space="preserve">2. Also triggered cultural anxiety, identity assertion, and occasional revivalist or majoritarian reactions among sections of youth.</w:t>
      </w:r>
    </w:p>
    <w:p>
      <w:pPr>
        <w:pStyle w:val="BodyText"/>
      </w:pPr>
      <w:r>
        <w:rPr>
          <w:bCs/>
          <w:b/>
        </w:rPr>
        <w:t xml:space="preserve">Conclusion</w:t>
      </w:r>
      <w:r>
        <w:t xml:space="preserve">: Globalization has been a double-edged force — expanding opportunity and awareness while generating new inequalities and cultural tensions, demanding policy responses in skilling, mental health, and inclusive growth.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End of Model Answers — GS Paper I, UPSC CSE (Main) 2026 (Numbered-Demand Format)</w:t>
      </w:r>
    </w:p>
    <w:bookmarkEnd w:id="39"/>
    <w:bookmarkEnd w:id="40"/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UPSC Mains 2026 - GS Paper I Model Answers (Numbered Demand Format)</dc:title>
  <dc:creator/>
  <cp:keywords/>
  <dcterms:created xsi:type="dcterms:W3CDTF">2026-09-18T11:43:17Z</dcterms:created>
  <dcterms:modified xsi:type="dcterms:W3CDTF">2026-09-18T11:43:17Z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